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43" w:rsidRDefault="00DF6843">
      <w:pPr>
        <w:jc w:val="both"/>
        <w:rPr>
          <w:rFonts w:ascii="Arial" w:hAnsi="Arial"/>
          <w:b/>
          <w:sz w:val="22"/>
        </w:rPr>
      </w:pPr>
      <w:r>
        <w:rPr>
          <w:rFonts w:ascii="Arial" w:hAnsi="Arial"/>
          <w:b/>
          <w:sz w:val="22"/>
        </w:rPr>
        <w:t xml:space="preserve">KPS CONSORTIUM BERHAD (“KPSCB” or the “Company”) and </w:t>
      </w:r>
    </w:p>
    <w:p w:rsidR="00DF6843" w:rsidRDefault="00DF6843">
      <w:pPr>
        <w:jc w:val="both"/>
        <w:rPr>
          <w:rFonts w:ascii="Arial" w:hAnsi="Arial"/>
          <w:b/>
          <w:sz w:val="22"/>
        </w:rPr>
      </w:pPr>
      <w:r>
        <w:rPr>
          <w:rFonts w:ascii="Arial" w:hAnsi="Arial"/>
          <w:b/>
          <w:sz w:val="22"/>
        </w:rPr>
        <w:t>GROUP OF COMPANIES (“The Group”)</w:t>
      </w:r>
    </w:p>
    <w:p w:rsidR="00DF6843" w:rsidRDefault="00DF6843">
      <w:pPr>
        <w:jc w:val="both"/>
        <w:rPr>
          <w:rFonts w:ascii="Arial" w:hAnsi="Arial"/>
          <w:b/>
          <w:sz w:val="22"/>
        </w:rPr>
      </w:pPr>
    </w:p>
    <w:p w:rsidR="00DF6843" w:rsidRDefault="00DF6843">
      <w:pPr>
        <w:pStyle w:val="Heading1"/>
      </w:pPr>
      <w:r>
        <w:t>NOTES TO THE INTERIM FINANCIAL REPORT</w:t>
      </w:r>
    </w:p>
    <w:p w:rsidR="00DF6843" w:rsidRDefault="00DF6843">
      <w:pP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Basis of preparation</w:t>
      </w:r>
    </w:p>
    <w:p w:rsidR="00DF6843" w:rsidRDefault="00DF6843">
      <w:pPr>
        <w:jc w:val="both"/>
        <w:rPr>
          <w:rFonts w:ascii="Arial" w:hAnsi="Arial"/>
          <w:sz w:val="20"/>
          <w:u w:val="single"/>
        </w:rPr>
      </w:pPr>
    </w:p>
    <w:p w:rsidR="00DF6843" w:rsidRDefault="00DF6843">
      <w:pPr>
        <w:ind w:left="360"/>
        <w:jc w:val="both"/>
        <w:rPr>
          <w:rFonts w:ascii="Arial" w:hAnsi="Arial"/>
          <w:sz w:val="20"/>
        </w:rPr>
      </w:pPr>
      <w:r>
        <w:rPr>
          <w:rFonts w:ascii="Arial" w:hAnsi="Arial"/>
          <w:sz w:val="20"/>
        </w:rPr>
        <w:t>The interim financial report is unaudited and has been prepared in accordance with the reporting requirements outlined in the Financial Reporting Standards 134 – ‘Interim Financial Reporting’ issued by the Malaysian Accounting Standards Board (“MASB”)</w:t>
      </w:r>
      <w:r w:rsidR="00F361EA">
        <w:rPr>
          <w:rFonts w:ascii="Arial" w:hAnsi="Arial"/>
          <w:sz w:val="20"/>
        </w:rPr>
        <w:t xml:space="preserve"> and paragraph 9.22 of the Bursa Malaysia Securities </w:t>
      </w:r>
      <w:proofErr w:type="spellStart"/>
      <w:r w:rsidR="00F361EA">
        <w:rPr>
          <w:rFonts w:ascii="Arial" w:hAnsi="Arial"/>
          <w:sz w:val="20"/>
        </w:rPr>
        <w:t>Bhd</w:t>
      </w:r>
      <w:proofErr w:type="spellEnd"/>
      <w:r w:rsidR="00F361EA">
        <w:rPr>
          <w:rFonts w:ascii="Arial" w:hAnsi="Arial"/>
          <w:sz w:val="20"/>
        </w:rPr>
        <w:t xml:space="preserve"> Listing Requirements.</w:t>
      </w:r>
    </w:p>
    <w:p w:rsidR="00DF6843" w:rsidRDefault="00DF6843" w:rsidP="00F361EA">
      <w:pPr>
        <w:jc w:val="both"/>
        <w:rPr>
          <w:rFonts w:ascii="Arial" w:hAnsi="Arial"/>
          <w:sz w:val="20"/>
        </w:rPr>
      </w:pPr>
    </w:p>
    <w:p w:rsidR="002C2E98" w:rsidRDefault="00DF6843" w:rsidP="007D694B">
      <w:pPr>
        <w:ind w:left="360"/>
        <w:jc w:val="both"/>
        <w:rPr>
          <w:rFonts w:ascii="Arial" w:hAnsi="Arial"/>
          <w:sz w:val="20"/>
        </w:rPr>
      </w:pPr>
      <w:r>
        <w:rPr>
          <w:rFonts w:ascii="Arial" w:hAnsi="Arial"/>
          <w:sz w:val="20"/>
        </w:rPr>
        <w:t>The interim financial report should be read in conjunction with the audited financial statements of the Group for the finan</w:t>
      </w:r>
      <w:r w:rsidR="002C2E98">
        <w:rPr>
          <w:rFonts w:ascii="Arial" w:hAnsi="Arial"/>
          <w:sz w:val="20"/>
        </w:rPr>
        <w:t xml:space="preserve">cial year ended 31 </w:t>
      </w:r>
      <w:r w:rsidR="007D694B">
        <w:rPr>
          <w:rFonts w:ascii="Arial" w:hAnsi="Arial"/>
          <w:sz w:val="20"/>
        </w:rPr>
        <w:t>December 2012</w:t>
      </w:r>
      <w:r>
        <w:rPr>
          <w:rFonts w:ascii="Arial" w:hAnsi="Arial"/>
          <w:sz w:val="20"/>
        </w:rPr>
        <w:t>.The accounting policies and methods of computation adopted by the Group in this interim financial report are consistent with those adopted in the financial statements for the finan</w:t>
      </w:r>
      <w:r w:rsidR="007D694B">
        <w:rPr>
          <w:rFonts w:ascii="Arial" w:hAnsi="Arial"/>
          <w:sz w:val="20"/>
        </w:rPr>
        <w:t xml:space="preserve">cial year ended 31 December 2012 . </w:t>
      </w:r>
    </w:p>
    <w:p w:rsidR="001C6296" w:rsidRDefault="001C6296" w:rsidP="007D694B">
      <w:pPr>
        <w:jc w:val="both"/>
        <w:rPr>
          <w:rFonts w:ascii="Arial" w:hAnsi="Arial"/>
          <w:sz w:val="20"/>
        </w:rPr>
      </w:pPr>
    </w:p>
    <w:p w:rsidR="001C6296" w:rsidRDefault="001C6296">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Annual Report of the Group’s Preceding Annual Financial Statements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 xml:space="preserve">The </w:t>
      </w:r>
      <w:r w:rsidR="002C2E98">
        <w:rPr>
          <w:rFonts w:ascii="Arial" w:hAnsi="Arial"/>
          <w:sz w:val="20"/>
        </w:rPr>
        <w:t>A</w:t>
      </w:r>
      <w:r>
        <w:rPr>
          <w:rFonts w:ascii="Arial" w:hAnsi="Arial"/>
          <w:sz w:val="20"/>
        </w:rPr>
        <w:t>uditors’ report of the Group’s most recent annual audited financial statements for the year e</w:t>
      </w:r>
      <w:r w:rsidR="007D694B">
        <w:rPr>
          <w:rFonts w:ascii="Arial" w:hAnsi="Arial"/>
          <w:sz w:val="20"/>
        </w:rPr>
        <w:t>nded 31 December 2012</w:t>
      </w:r>
      <w:r>
        <w:rPr>
          <w:rFonts w:ascii="Arial" w:hAnsi="Arial"/>
          <w:sz w:val="20"/>
        </w:rPr>
        <w:t xml:space="preserve"> was unqualified.</w:t>
      </w:r>
    </w:p>
    <w:p w:rsidR="002C2E98" w:rsidRDefault="00DF6843" w:rsidP="001C6296">
      <w:pPr>
        <w:jc w:val="both"/>
        <w:rPr>
          <w:rFonts w:ascii="Arial" w:hAnsi="Arial"/>
          <w:sz w:val="20"/>
        </w:rPr>
      </w:pPr>
      <w:r>
        <w:rPr>
          <w:rFonts w:ascii="Arial" w:hAnsi="Arial"/>
          <w:sz w:val="20"/>
        </w:rPr>
        <w:t xml:space="preserve"> </w:t>
      </w:r>
    </w:p>
    <w:p w:rsidR="002C2E98" w:rsidRDefault="002C2E98">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estimates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were no changes in the estimate of amounts reported in prior quarter in the current financial year or changes in estimates of amounts reported in prior financial years that have a material effect in the current interim period.</w:t>
      </w:r>
    </w:p>
    <w:p w:rsidR="00DF6843" w:rsidRDefault="00DF6843">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Debt and equity securities</w:t>
      </w:r>
    </w:p>
    <w:p w:rsidR="00DF6843" w:rsidRDefault="00DF6843">
      <w:pPr>
        <w:pStyle w:val="BodyTextIndent"/>
      </w:pPr>
    </w:p>
    <w:p w:rsidR="00DF6843" w:rsidRDefault="00DF6843">
      <w:pPr>
        <w:pStyle w:val="BodyTextIndent"/>
      </w:pPr>
      <w:r>
        <w:t>During t</w:t>
      </w:r>
      <w:r w:rsidR="000F7B05">
        <w:t>he curr</w:t>
      </w:r>
      <w:r w:rsidR="008432AD">
        <w:t>ent reporting period</w:t>
      </w:r>
      <w:proofErr w:type="gramStart"/>
      <w:r w:rsidR="008432AD">
        <w:t>,  RM</w:t>
      </w:r>
      <w:proofErr w:type="gramEnd"/>
      <w:r w:rsidR="008432AD">
        <w:t xml:space="preserve"> 0. 417</w:t>
      </w:r>
      <w:r w:rsidR="001C6296">
        <w:t xml:space="preserve"> </w:t>
      </w:r>
      <w:r w:rsidR="000F7B05">
        <w:t>million</w:t>
      </w:r>
      <w:r w:rsidR="001C6296">
        <w:t xml:space="preserve"> of term loans</w:t>
      </w:r>
      <w:r w:rsidR="000F7B05">
        <w:t xml:space="preserve"> were repaid</w:t>
      </w:r>
    </w:p>
    <w:p w:rsidR="00DF6843" w:rsidRDefault="00DF6843" w:rsidP="001C6296">
      <w:pPr>
        <w:pStyle w:val="BodyTextIndent"/>
        <w:ind w:left="0"/>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Dividends paid</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were no dividends paid during the financial period.</w:t>
      </w:r>
    </w:p>
    <w:p w:rsidR="0097190C" w:rsidRDefault="0097190C" w:rsidP="00E87825">
      <w:pPr>
        <w:jc w:val="both"/>
        <w:rPr>
          <w:rFonts w:ascii="Arial" w:hAnsi="Arial"/>
          <w:sz w:val="20"/>
        </w:rPr>
      </w:pPr>
    </w:p>
    <w:p w:rsidR="0097190C" w:rsidRDefault="0097190C" w:rsidP="00E87825">
      <w:pPr>
        <w:jc w:val="both"/>
        <w:rPr>
          <w:rFonts w:ascii="Arial" w:hAnsi="Arial"/>
          <w:sz w:val="20"/>
        </w:rPr>
      </w:pPr>
    </w:p>
    <w:p w:rsidR="00DF6843" w:rsidRDefault="00DF6843" w:rsidP="00FE1989">
      <w:pPr>
        <w:numPr>
          <w:ilvl w:val="0"/>
          <w:numId w:val="1"/>
        </w:numPr>
        <w:tabs>
          <w:tab w:val="clear" w:pos="720"/>
          <w:tab w:val="num" w:pos="360"/>
        </w:tabs>
        <w:ind w:left="360"/>
        <w:jc w:val="both"/>
        <w:rPr>
          <w:rFonts w:ascii="Arial" w:hAnsi="Arial"/>
          <w:sz w:val="20"/>
          <w:u w:val="single"/>
        </w:rPr>
      </w:pPr>
      <w:r w:rsidRPr="002C2E98">
        <w:rPr>
          <w:rFonts w:ascii="Arial" w:hAnsi="Arial"/>
          <w:sz w:val="20"/>
          <w:u w:val="single"/>
        </w:rPr>
        <w:t xml:space="preserve">Segmental </w:t>
      </w:r>
      <w:r>
        <w:rPr>
          <w:rFonts w:ascii="Arial" w:hAnsi="Arial"/>
          <w:sz w:val="20"/>
          <w:u w:val="single"/>
        </w:rPr>
        <w:t>Reporting</w:t>
      </w:r>
    </w:p>
    <w:p w:rsidR="00DF6843" w:rsidRDefault="00DF6843">
      <w:pPr>
        <w:jc w:val="both"/>
        <w:rPr>
          <w:rFonts w:ascii="Arial" w:hAnsi="Arial"/>
          <w:sz w:val="20"/>
        </w:rPr>
      </w:pPr>
    </w:p>
    <w:tbl>
      <w:tblPr>
        <w:tblW w:w="0" w:type="auto"/>
        <w:tblInd w:w="360" w:type="dxa"/>
        <w:tblLayout w:type="fixed"/>
        <w:tblLook w:val="0000" w:firstRow="0" w:lastRow="0" w:firstColumn="0" w:lastColumn="0" w:noHBand="0" w:noVBand="0"/>
      </w:tblPr>
      <w:tblGrid>
        <w:gridCol w:w="3888"/>
        <w:gridCol w:w="1620"/>
        <w:gridCol w:w="1260"/>
        <w:gridCol w:w="1080"/>
        <w:gridCol w:w="1620"/>
      </w:tblGrid>
      <w:tr w:rsidR="00DF6843">
        <w:trPr>
          <w:cantSplit/>
        </w:trPr>
        <w:tc>
          <w:tcPr>
            <w:tcW w:w="3888" w:type="dxa"/>
          </w:tcPr>
          <w:p w:rsidR="00DF6843" w:rsidRDefault="00DF6843">
            <w:pPr>
              <w:jc w:val="both"/>
              <w:rPr>
                <w:rFonts w:ascii="Arial" w:hAnsi="Arial"/>
                <w:sz w:val="20"/>
              </w:rPr>
            </w:pPr>
          </w:p>
        </w:tc>
        <w:tc>
          <w:tcPr>
            <w:tcW w:w="5580" w:type="dxa"/>
            <w:gridSpan w:val="4"/>
          </w:tcPr>
          <w:p w:rsidR="00DF6843" w:rsidRDefault="008432AD" w:rsidP="00336D58">
            <w:pPr>
              <w:jc w:val="center"/>
              <w:rPr>
                <w:rFonts w:ascii="Arial" w:hAnsi="Arial"/>
                <w:b/>
                <w:sz w:val="20"/>
                <w:u w:val="single"/>
              </w:rPr>
            </w:pPr>
            <w:r>
              <w:rPr>
                <w:rFonts w:ascii="Arial" w:hAnsi="Arial"/>
                <w:b/>
                <w:sz w:val="20"/>
                <w:u w:val="single"/>
              </w:rPr>
              <w:t>9-months ended 30 Sept</w:t>
            </w:r>
            <w:r w:rsidR="00D95E3C">
              <w:rPr>
                <w:rFonts w:ascii="Arial" w:hAnsi="Arial"/>
                <w:b/>
                <w:sz w:val="20"/>
                <w:u w:val="single"/>
              </w:rPr>
              <w:t xml:space="preserve"> </w:t>
            </w:r>
            <w:r w:rsidR="00823C5B">
              <w:rPr>
                <w:rFonts w:ascii="Arial" w:hAnsi="Arial"/>
                <w:b/>
                <w:sz w:val="20"/>
                <w:u w:val="single"/>
              </w:rPr>
              <w:t>2013</w:t>
            </w:r>
            <w:r w:rsidR="001C6296">
              <w:rPr>
                <w:rFonts w:ascii="Arial" w:hAnsi="Arial"/>
                <w:b/>
                <w:sz w:val="20"/>
                <w:u w:val="single"/>
              </w:rPr>
              <w:t xml:space="preserve"> </w:t>
            </w:r>
          </w:p>
          <w:p w:rsidR="00DF6843" w:rsidRDefault="00DF6843">
            <w:pPr>
              <w:jc w:val="center"/>
              <w:rPr>
                <w:rFonts w:ascii="Arial" w:hAnsi="Arial"/>
                <w:b/>
                <w:sz w:val="20"/>
              </w:rPr>
            </w:pPr>
          </w:p>
        </w:tc>
      </w:tr>
      <w:tr w:rsidR="00DF6843">
        <w:trPr>
          <w:cantSplit/>
        </w:trPr>
        <w:tc>
          <w:tcPr>
            <w:tcW w:w="3888" w:type="dxa"/>
          </w:tcPr>
          <w:p w:rsidR="00DF6843" w:rsidRDefault="00DF6843">
            <w:pPr>
              <w:jc w:val="both"/>
              <w:rPr>
                <w:rFonts w:ascii="Arial" w:hAnsi="Arial"/>
                <w:sz w:val="20"/>
              </w:rPr>
            </w:pPr>
          </w:p>
        </w:tc>
        <w:tc>
          <w:tcPr>
            <w:tcW w:w="2880" w:type="dxa"/>
            <w:gridSpan w:val="2"/>
          </w:tcPr>
          <w:p w:rsidR="00DF6843" w:rsidRDefault="00DF6843">
            <w:pPr>
              <w:jc w:val="center"/>
              <w:rPr>
                <w:rFonts w:ascii="Arial" w:hAnsi="Arial"/>
                <w:b/>
                <w:sz w:val="20"/>
              </w:rPr>
            </w:pPr>
            <w:r>
              <w:rPr>
                <w:rFonts w:ascii="Arial" w:hAnsi="Arial"/>
                <w:b/>
                <w:sz w:val="20"/>
              </w:rPr>
              <w:t>- Revenue-</w:t>
            </w:r>
          </w:p>
        </w:tc>
        <w:tc>
          <w:tcPr>
            <w:tcW w:w="1080" w:type="dxa"/>
          </w:tcPr>
          <w:p w:rsidR="00DF6843" w:rsidRDefault="00DF6843">
            <w:pPr>
              <w:jc w:val="both"/>
              <w:rPr>
                <w:rFonts w:ascii="Arial" w:hAnsi="Arial"/>
                <w:b/>
                <w:sz w:val="20"/>
              </w:rPr>
            </w:pPr>
          </w:p>
        </w:tc>
        <w:tc>
          <w:tcPr>
            <w:tcW w:w="1620" w:type="dxa"/>
          </w:tcPr>
          <w:p w:rsidR="00DF6843" w:rsidRDefault="00D95E3C" w:rsidP="00D95E3C">
            <w:pPr>
              <w:jc w:val="center"/>
              <w:rPr>
                <w:rFonts w:ascii="Arial" w:hAnsi="Arial"/>
                <w:b/>
                <w:sz w:val="20"/>
              </w:rPr>
            </w:pPr>
            <w:r>
              <w:rPr>
                <w:rFonts w:ascii="Arial" w:hAnsi="Arial"/>
                <w:b/>
                <w:sz w:val="20"/>
              </w:rPr>
              <w:t>Profit/(Loss)</w:t>
            </w:r>
          </w:p>
        </w:tc>
      </w:tr>
      <w:tr w:rsidR="00DF6843">
        <w:trPr>
          <w:cantSplit/>
        </w:trPr>
        <w:tc>
          <w:tcPr>
            <w:tcW w:w="3888" w:type="dxa"/>
          </w:tcPr>
          <w:p w:rsidR="00DF6843" w:rsidRDefault="00DF6843">
            <w:pPr>
              <w:jc w:val="both"/>
              <w:rPr>
                <w:rFonts w:ascii="Arial" w:hAnsi="Arial"/>
                <w:sz w:val="20"/>
              </w:rPr>
            </w:pPr>
          </w:p>
        </w:tc>
        <w:tc>
          <w:tcPr>
            <w:tcW w:w="1620" w:type="dxa"/>
          </w:tcPr>
          <w:p w:rsidR="00DF6843" w:rsidRDefault="00DF6843">
            <w:pPr>
              <w:jc w:val="center"/>
              <w:rPr>
                <w:rFonts w:ascii="Arial" w:hAnsi="Arial"/>
                <w:b/>
                <w:sz w:val="20"/>
              </w:rPr>
            </w:pPr>
            <w:r>
              <w:rPr>
                <w:rFonts w:ascii="Arial" w:hAnsi="Arial"/>
                <w:b/>
                <w:sz w:val="20"/>
              </w:rPr>
              <w:t>Internal</w:t>
            </w:r>
          </w:p>
          <w:p w:rsidR="00DF6843" w:rsidRDefault="00DF6843">
            <w:pPr>
              <w:pStyle w:val="Heading3"/>
            </w:pPr>
            <w:r>
              <w:t>RM’000</w:t>
            </w:r>
          </w:p>
        </w:tc>
        <w:tc>
          <w:tcPr>
            <w:tcW w:w="1260" w:type="dxa"/>
          </w:tcPr>
          <w:p w:rsidR="00DF6843" w:rsidRDefault="00DF6843">
            <w:pPr>
              <w:jc w:val="center"/>
              <w:rPr>
                <w:rFonts w:ascii="Arial" w:hAnsi="Arial"/>
                <w:b/>
                <w:sz w:val="20"/>
              </w:rPr>
            </w:pPr>
            <w:r>
              <w:rPr>
                <w:rFonts w:ascii="Arial" w:hAnsi="Arial"/>
                <w:b/>
                <w:sz w:val="20"/>
              </w:rPr>
              <w:t>External</w:t>
            </w:r>
          </w:p>
          <w:p w:rsidR="00DF6843" w:rsidRDefault="00DF6843">
            <w:pPr>
              <w:pStyle w:val="Heading3"/>
            </w:pPr>
            <w:r>
              <w:t>RM’000</w:t>
            </w:r>
          </w:p>
        </w:tc>
        <w:tc>
          <w:tcPr>
            <w:tcW w:w="1080" w:type="dxa"/>
          </w:tcPr>
          <w:p w:rsidR="00DF6843" w:rsidRDefault="00DF6843">
            <w:pPr>
              <w:jc w:val="center"/>
              <w:rPr>
                <w:rFonts w:ascii="Arial" w:hAnsi="Arial"/>
                <w:b/>
                <w:sz w:val="20"/>
              </w:rPr>
            </w:pPr>
            <w:r>
              <w:rPr>
                <w:rFonts w:ascii="Arial" w:hAnsi="Arial"/>
                <w:b/>
                <w:sz w:val="20"/>
              </w:rPr>
              <w:t>Total</w:t>
            </w:r>
          </w:p>
          <w:p w:rsidR="00DF6843" w:rsidRDefault="00DF6843">
            <w:pPr>
              <w:pStyle w:val="Heading3"/>
            </w:pPr>
            <w:r>
              <w:t>RM’000</w:t>
            </w:r>
          </w:p>
        </w:tc>
        <w:tc>
          <w:tcPr>
            <w:tcW w:w="1620" w:type="dxa"/>
          </w:tcPr>
          <w:p w:rsidR="00DF6843" w:rsidRDefault="00D95E3C">
            <w:pPr>
              <w:jc w:val="center"/>
              <w:rPr>
                <w:rFonts w:ascii="Arial" w:hAnsi="Arial"/>
                <w:b/>
                <w:sz w:val="20"/>
              </w:rPr>
            </w:pPr>
            <w:r>
              <w:rPr>
                <w:rFonts w:ascii="Arial" w:hAnsi="Arial"/>
                <w:b/>
                <w:sz w:val="20"/>
              </w:rPr>
              <w:t>Before tax</w:t>
            </w:r>
          </w:p>
          <w:p w:rsidR="00DF6843" w:rsidRDefault="00DF6843">
            <w:pPr>
              <w:pStyle w:val="Heading3"/>
            </w:pPr>
            <w:r>
              <w:t>RM’000</w:t>
            </w:r>
          </w:p>
        </w:tc>
      </w:tr>
      <w:tr w:rsidR="00DF6843">
        <w:trPr>
          <w:cantSplit/>
        </w:trPr>
        <w:tc>
          <w:tcPr>
            <w:tcW w:w="3888" w:type="dxa"/>
          </w:tcPr>
          <w:p w:rsidR="00DF6843" w:rsidRDefault="00DF6843">
            <w:pPr>
              <w:jc w:val="both"/>
              <w:rPr>
                <w:rFonts w:ascii="Arial" w:hAnsi="Arial"/>
                <w:sz w:val="20"/>
              </w:rPr>
            </w:pPr>
          </w:p>
          <w:p w:rsidR="00DF6843" w:rsidRDefault="00DF6843">
            <w:pPr>
              <w:jc w:val="both"/>
              <w:rPr>
                <w:rFonts w:ascii="Arial" w:hAnsi="Arial"/>
                <w:sz w:val="20"/>
              </w:rPr>
            </w:pPr>
            <w:r>
              <w:rPr>
                <w:rFonts w:ascii="Arial" w:hAnsi="Arial"/>
                <w:sz w:val="20"/>
              </w:rPr>
              <w:t>Paper milling</w:t>
            </w:r>
          </w:p>
        </w:tc>
        <w:tc>
          <w:tcPr>
            <w:tcW w:w="1620" w:type="dxa"/>
          </w:tcPr>
          <w:p w:rsidR="00DF6843" w:rsidRDefault="00DF6843">
            <w:pPr>
              <w:jc w:val="right"/>
              <w:rPr>
                <w:rFonts w:ascii="Arial" w:hAnsi="Arial"/>
                <w:sz w:val="20"/>
              </w:rPr>
            </w:pPr>
          </w:p>
          <w:p w:rsidR="00DF6843" w:rsidRDefault="00C4525F">
            <w:pPr>
              <w:jc w:val="right"/>
              <w:rPr>
                <w:rFonts w:ascii="Arial" w:hAnsi="Arial"/>
                <w:sz w:val="20"/>
              </w:rPr>
            </w:pPr>
            <w:r>
              <w:rPr>
                <w:rFonts w:ascii="Arial" w:hAnsi="Arial"/>
                <w:sz w:val="20"/>
              </w:rPr>
              <w:t>2</w:t>
            </w:r>
            <w:r w:rsidR="00063730">
              <w:rPr>
                <w:rFonts w:ascii="Arial" w:hAnsi="Arial"/>
                <w:sz w:val="20"/>
              </w:rPr>
              <w:t>9,766</w:t>
            </w:r>
          </w:p>
        </w:tc>
        <w:tc>
          <w:tcPr>
            <w:tcW w:w="1260" w:type="dxa"/>
          </w:tcPr>
          <w:p w:rsidR="00DF6843" w:rsidRDefault="00DF6843">
            <w:pPr>
              <w:jc w:val="right"/>
              <w:rPr>
                <w:rFonts w:ascii="Arial" w:hAnsi="Arial"/>
                <w:sz w:val="20"/>
              </w:rPr>
            </w:pPr>
          </w:p>
          <w:p w:rsidR="00DF6843" w:rsidRDefault="00C4525F" w:rsidP="00A838E2">
            <w:pPr>
              <w:jc w:val="center"/>
              <w:rPr>
                <w:rFonts w:ascii="Arial" w:hAnsi="Arial"/>
                <w:sz w:val="20"/>
              </w:rPr>
            </w:pPr>
            <w:r>
              <w:rPr>
                <w:rFonts w:ascii="Arial" w:hAnsi="Arial"/>
                <w:sz w:val="20"/>
              </w:rPr>
              <w:t xml:space="preserve">  </w:t>
            </w:r>
            <w:r w:rsidR="00A838E2">
              <w:rPr>
                <w:rFonts w:ascii="Arial" w:hAnsi="Arial"/>
                <w:sz w:val="20"/>
              </w:rPr>
              <w:t xml:space="preserve">   </w:t>
            </w:r>
            <w:r>
              <w:rPr>
                <w:rFonts w:ascii="Arial" w:hAnsi="Arial"/>
                <w:sz w:val="20"/>
              </w:rPr>
              <w:t>1</w:t>
            </w:r>
            <w:r w:rsidR="00063730">
              <w:rPr>
                <w:rFonts w:ascii="Arial" w:hAnsi="Arial"/>
                <w:sz w:val="20"/>
              </w:rPr>
              <w:t>6,248</w:t>
            </w:r>
          </w:p>
        </w:tc>
        <w:tc>
          <w:tcPr>
            <w:tcW w:w="1080" w:type="dxa"/>
          </w:tcPr>
          <w:p w:rsidR="00DF6843" w:rsidRDefault="00DF6843">
            <w:pPr>
              <w:jc w:val="right"/>
              <w:rPr>
                <w:rFonts w:ascii="Arial" w:hAnsi="Arial"/>
                <w:sz w:val="20"/>
              </w:rPr>
            </w:pPr>
          </w:p>
          <w:p w:rsidR="00DF6843" w:rsidRDefault="00FF1A35">
            <w:pPr>
              <w:jc w:val="right"/>
              <w:rPr>
                <w:rFonts w:ascii="Arial" w:hAnsi="Arial"/>
                <w:sz w:val="20"/>
              </w:rPr>
            </w:pPr>
            <w:r>
              <w:rPr>
                <w:rFonts w:ascii="Arial" w:hAnsi="Arial"/>
                <w:sz w:val="20"/>
              </w:rPr>
              <w:t>46,014</w:t>
            </w:r>
          </w:p>
        </w:tc>
        <w:tc>
          <w:tcPr>
            <w:tcW w:w="1620" w:type="dxa"/>
          </w:tcPr>
          <w:p w:rsidR="00DF6843" w:rsidRDefault="00DF6843">
            <w:pPr>
              <w:jc w:val="right"/>
              <w:rPr>
                <w:rFonts w:ascii="Arial" w:hAnsi="Arial"/>
                <w:sz w:val="20"/>
              </w:rPr>
            </w:pPr>
          </w:p>
          <w:p w:rsidR="00DF6843" w:rsidRDefault="00FC2FD4" w:rsidP="00B62EFF">
            <w:pPr>
              <w:jc w:val="center"/>
              <w:rPr>
                <w:rFonts w:ascii="Arial" w:hAnsi="Arial"/>
                <w:sz w:val="20"/>
              </w:rPr>
            </w:pPr>
            <w:r>
              <w:rPr>
                <w:rFonts w:ascii="Arial" w:hAnsi="Arial"/>
                <w:sz w:val="20"/>
              </w:rPr>
              <w:t xml:space="preserve">         </w:t>
            </w:r>
            <w:r w:rsidR="00B62EFF">
              <w:rPr>
                <w:rFonts w:ascii="Arial" w:hAnsi="Arial"/>
                <w:sz w:val="20"/>
              </w:rPr>
              <w:t xml:space="preserve">  </w:t>
            </w:r>
            <w:r w:rsidR="00C21B4C">
              <w:rPr>
                <w:rFonts w:ascii="Arial" w:hAnsi="Arial"/>
                <w:sz w:val="20"/>
              </w:rPr>
              <w:t xml:space="preserve">  </w:t>
            </w:r>
            <w:r w:rsidR="00B6691D">
              <w:rPr>
                <w:rFonts w:ascii="Arial" w:hAnsi="Arial"/>
                <w:sz w:val="20"/>
              </w:rPr>
              <w:t xml:space="preserve"> </w:t>
            </w:r>
            <w:r w:rsidR="00FF1A35">
              <w:rPr>
                <w:rFonts w:ascii="Arial" w:hAnsi="Arial"/>
                <w:sz w:val="20"/>
              </w:rPr>
              <w:t>2,826</w:t>
            </w:r>
          </w:p>
        </w:tc>
      </w:tr>
      <w:tr w:rsidR="00DF6843">
        <w:trPr>
          <w:cantSplit/>
        </w:trPr>
        <w:tc>
          <w:tcPr>
            <w:tcW w:w="3888" w:type="dxa"/>
          </w:tcPr>
          <w:p w:rsidR="00DF6843" w:rsidRDefault="00DF6843">
            <w:pPr>
              <w:jc w:val="both"/>
              <w:rPr>
                <w:rFonts w:ascii="Arial" w:hAnsi="Arial"/>
                <w:sz w:val="20"/>
              </w:rPr>
            </w:pPr>
            <w:r>
              <w:rPr>
                <w:rFonts w:ascii="Arial" w:hAnsi="Arial"/>
                <w:sz w:val="20"/>
              </w:rPr>
              <w:t>Paper converting</w:t>
            </w:r>
          </w:p>
        </w:tc>
        <w:tc>
          <w:tcPr>
            <w:tcW w:w="1620" w:type="dxa"/>
          </w:tcPr>
          <w:p w:rsidR="00DF6843" w:rsidRDefault="00063730">
            <w:pPr>
              <w:jc w:val="right"/>
              <w:rPr>
                <w:rFonts w:ascii="Arial" w:hAnsi="Arial"/>
                <w:sz w:val="20"/>
              </w:rPr>
            </w:pPr>
            <w:r>
              <w:rPr>
                <w:rFonts w:ascii="Arial" w:hAnsi="Arial"/>
                <w:sz w:val="20"/>
              </w:rPr>
              <w:t>5,145</w:t>
            </w:r>
          </w:p>
        </w:tc>
        <w:tc>
          <w:tcPr>
            <w:tcW w:w="1260" w:type="dxa"/>
          </w:tcPr>
          <w:p w:rsidR="00DF6843" w:rsidRDefault="00F46019" w:rsidP="00A838E2">
            <w:pPr>
              <w:jc w:val="center"/>
              <w:rPr>
                <w:rFonts w:ascii="Arial" w:hAnsi="Arial"/>
                <w:sz w:val="20"/>
              </w:rPr>
            </w:pPr>
            <w:r>
              <w:rPr>
                <w:rFonts w:ascii="Arial" w:hAnsi="Arial"/>
                <w:sz w:val="20"/>
              </w:rPr>
              <w:t xml:space="preserve"> </w:t>
            </w:r>
            <w:r w:rsidR="00A838E2">
              <w:rPr>
                <w:rFonts w:ascii="Arial" w:hAnsi="Arial"/>
                <w:sz w:val="20"/>
              </w:rPr>
              <w:t xml:space="preserve"> </w:t>
            </w:r>
            <w:r w:rsidR="00E0627A">
              <w:rPr>
                <w:rFonts w:ascii="Arial" w:hAnsi="Arial"/>
                <w:sz w:val="20"/>
              </w:rPr>
              <w:t xml:space="preserve"> </w:t>
            </w:r>
            <w:r w:rsidR="00A838E2">
              <w:rPr>
                <w:rFonts w:ascii="Arial" w:hAnsi="Arial"/>
                <w:sz w:val="20"/>
              </w:rPr>
              <w:t xml:space="preserve">  </w:t>
            </w:r>
            <w:r w:rsidR="00063730">
              <w:rPr>
                <w:rFonts w:ascii="Arial" w:hAnsi="Arial"/>
                <w:sz w:val="20"/>
              </w:rPr>
              <w:t>67,003</w:t>
            </w:r>
          </w:p>
        </w:tc>
        <w:tc>
          <w:tcPr>
            <w:tcW w:w="1080" w:type="dxa"/>
          </w:tcPr>
          <w:p w:rsidR="00DF6843" w:rsidRDefault="00FF1A35">
            <w:pPr>
              <w:jc w:val="right"/>
              <w:rPr>
                <w:rFonts w:ascii="Arial" w:hAnsi="Arial"/>
                <w:sz w:val="20"/>
              </w:rPr>
            </w:pPr>
            <w:r>
              <w:rPr>
                <w:rFonts w:ascii="Arial" w:hAnsi="Arial"/>
                <w:sz w:val="20"/>
              </w:rPr>
              <w:t>72,148</w:t>
            </w:r>
          </w:p>
        </w:tc>
        <w:tc>
          <w:tcPr>
            <w:tcW w:w="1620" w:type="dxa"/>
          </w:tcPr>
          <w:p w:rsidR="00DF6843" w:rsidRDefault="00C21B4C" w:rsidP="00957499">
            <w:pPr>
              <w:jc w:val="center"/>
              <w:rPr>
                <w:rFonts w:ascii="Arial" w:hAnsi="Arial"/>
                <w:sz w:val="20"/>
              </w:rPr>
            </w:pPr>
            <w:r>
              <w:rPr>
                <w:rFonts w:ascii="Arial" w:hAnsi="Arial"/>
                <w:sz w:val="20"/>
              </w:rPr>
              <w:t xml:space="preserve">           </w:t>
            </w:r>
            <w:r w:rsidR="00716463">
              <w:rPr>
                <w:rFonts w:ascii="Arial" w:hAnsi="Arial"/>
                <w:sz w:val="20"/>
              </w:rPr>
              <w:t xml:space="preserve"> </w:t>
            </w:r>
            <w:r w:rsidR="00957499">
              <w:rPr>
                <w:rFonts w:ascii="Arial" w:hAnsi="Arial"/>
                <w:sz w:val="20"/>
              </w:rPr>
              <w:t xml:space="preserve"> </w:t>
            </w:r>
            <w:r w:rsidR="000C4B22">
              <w:rPr>
                <w:rFonts w:ascii="Arial" w:hAnsi="Arial"/>
                <w:sz w:val="20"/>
              </w:rPr>
              <w:t xml:space="preserve">  </w:t>
            </w:r>
            <w:r w:rsidR="00C4525F">
              <w:rPr>
                <w:rFonts w:ascii="Arial" w:hAnsi="Arial"/>
                <w:sz w:val="20"/>
              </w:rPr>
              <w:t>1,</w:t>
            </w:r>
            <w:r w:rsidR="00FF1A35">
              <w:rPr>
                <w:rFonts w:ascii="Arial" w:hAnsi="Arial"/>
                <w:sz w:val="20"/>
              </w:rPr>
              <w:t>143</w:t>
            </w:r>
          </w:p>
        </w:tc>
      </w:tr>
      <w:tr w:rsidR="00DF6843">
        <w:trPr>
          <w:cantSplit/>
        </w:trPr>
        <w:tc>
          <w:tcPr>
            <w:tcW w:w="3888" w:type="dxa"/>
          </w:tcPr>
          <w:p w:rsidR="00DF6843" w:rsidRDefault="00DF6843">
            <w:pPr>
              <w:jc w:val="both"/>
              <w:rPr>
                <w:rFonts w:ascii="Arial" w:hAnsi="Arial"/>
                <w:sz w:val="20"/>
              </w:rPr>
            </w:pPr>
            <w:r>
              <w:rPr>
                <w:rFonts w:ascii="Arial" w:hAnsi="Arial"/>
                <w:sz w:val="20"/>
              </w:rPr>
              <w:t>Trading building materials</w:t>
            </w:r>
          </w:p>
        </w:tc>
        <w:tc>
          <w:tcPr>
            <w:tcW w:w="1620" w:type="dxa"/>
          </w:tcPr>
          <w:p w:rsidR="00DF6843" w:rsidRDefault="00063730">
            <w:pPr>
              <w:jc w:val="right"/>
              <w:rPr>
                <w:rFonts w:ascii="Arial" w:hAnsi="Arial"/>
                <w:sz w:val="20"/>
              </w:rPr>
            </w:pPr>
            <w:r>
              <w:rPr>
                <w:rFonts w:ascii="Arial" w:hAnsi="Arial"/>
                <w:sz w:val="20"/>
              </w:rPr>
              <w:t>9,782</w:t>
            </w:r>
          </w:p>
        </w:tc>
        <w:tc>
          <w:tcPr>
            <w:tcW w:w="1260" w:type="dxa"/>
          </w:tcPr>
          <w:p w:rsidR="00DF6843" w:rsidRDefault="00F46019" w:rsidP="00C4525F">
            <w:pPr>
              <w:rPr>
                <w:rFonts w:ascii="Arial" w:hAnsi="Arial"/>
                <w:sz w:val="20"/>
              </w:rPr>
            </w:pPr>
            <w:r>
              <w:rPr>
                <w:rFonts w:ascii="Arial" w:hAnsi="Arial"/>
                <w:sz w:val="20"/>
              </w:rPr>
              <w:t xml:space="preserve"> </w:t>
            </w:r>
            <w:r w:rsidR="00C4525F">
              <w:rPr>
                <w:rFonts w:ascii="Arial" w:hAnsi="Arial"/>
                <w:sz w:val="20"/>
              </w:rPr>
              <w:t xml:space="preserve"> </w:t>
            </w:r>
            <w:r w:rsidR="00063730">
              <w:rPr>
                <w:rFonts w:ascii="Arial" w:hAnsi="Arial"/>
                <w:sz w:val="20"/>
              </w:rPr>
              <w:t xml:space="preserve"> </w:t>
            </w:r>
            <w:r w:rsidR="00A838E2">
              <w:rPr>
                <w:rFonts w:ascii="Arial" w:hAnsi="Arial"/>
                <w:sz w:val="20"/>
              </w:rPr>
              <w:t xml:space="preserve">  </w:t>
            </w:r>
            <w:r w:rsidR="00063730">
              <w:rPr>
                <w:rFonts w:ascii="Arial" w:hAnsi="Arial"/>
                <w:sz w:val="20"/>
              </w:rPr>
              <w:t>258,541</w:t>
            </w:r>
          </w:p>
        </w:tc>
        <w:tc>
          <w:tcPr>
            <w:tcW w:w="1080" w:type="dxa"/>
          </w:tcPr>
          <w:p w:rsidR="00DF6843" w:rsidRDefault="00C017E0" w:rsidP="00FC2FD4">
            <w:pPr>
              <w:jc w:val="center"/>
              <w:rPr>
                <w:rFonts w:ascii="Arial" w:hAnsi="Arial"/>
                <w:sz w:val="20"/>
              </w:rPr>
            </w:pPr>
            <w:r>
              <w:rPr>
                <w:rFonts w:ascii="Arial" w:hAnsi="Arial"/>
                <w:sz w:val="20"/>
              </w:rPr>
              <w:t xml:space="preserve"> </w:t>
            </w:r>
            <w:r w:rsidR="00F46019">
              <w:rPr>
                <w:rFonts w:ascii="Arial" w:hAnsi="Arial"/>
                <w:sz w:val="20"/>
              </w:rPr>
              <w:t xml:space="preserve"> </w:t>
            </w:r>
            <w:r w:rsidR="00FF1A35">
              <w:rPr>
                <w:rFonts w:ascii="Arial" w:hAnsi="Arial"/>
                <w:sz w:val="20"/>
              </w:rPr>
              <w:t>268,323</w:t>
            </w:r>
          </w:p>
        </w:tc>
        <w:tc>
          <w:tcPr>
            <w:tcW w:w="1620" w:type="dxa"/>
          </w:tcPr>
          <w:p w:rsidR="00DF6843" w:rsidRDefault="00B6691D" w:rsidP="00B6691D">
            <w:pPr>
              <w:jc w:val="center"/>
              <w:rPr>
                <w:rFonts w:ascii="Arial" w:hAnsi="Arial"/>
                <w:sz w:val="20"/>
              </w:rPr>
            </w:pPr>
            <w:r>
              <w:rPr>
                <w:rFonts w:ascii="Arial" w:hAnsi="Arial"/>
                <w:sz w:val="20"/>
              </w:rPr>
              <w:t xml:space="preserve">          </w:t>
            </w:r>
            <w:r w:rsidR="00C4525F">
              <w:rPr>
                <w:rFonts w:ascii="Arial" w:hAnsi="Arial"/>
                <w:sz w:val="20"/>
              </w:rPr>
              <w:t xml:space="preserve"> </w:t>
            </w:r>
            <w:r>
              <w:rPr>
                <w:rFonts w:ascii="Arial" w:hAnsi="Arial"/>
                <w:sz w:val="20"/>
              </w:rPr>
              <w:t xml:space="preserve">   </w:t>
            </w:r>
            <w:r w:rsidR="00FF1A35">
              <w:rPr>
                <w:rFonts w:ascii="Arial" w:hAnsi="Arial"/>
                <w:sz w:val="20"/>
              </w:rPr>
              <w:t>11,140</w:t>
            </w:r>
          </w:p>
        </w:tc>
      </w:tr>
      <w:tr w:rsidR="00DF6843">
        <w:trPr>
          <w:cantSplit/>
        </w:trPr>
        <w:tc>
          <w:tcPr>
            <w:tcW w:w="3888" w:type="dxa"/>
          </w:tcPr>
          <w:p w:rsidR="00DF6843" w:rsidRDefault="00DF6843">
            <w:pPr>
              <w:jc w:val="both"/>
              <w:rPr>
                <w:rFonts w:ascii="Arial" w:hAnsi="Arial"/>
                <w:sz w:val="20"/>
              </w:rPr>
            </w:pPr>
            <w:r>
              <w:rPr>
                <w:rFonts w:ascii="Arial" w:hAnsi="Arial"/>
                <w:sz w:val="20"/>
              </w:rPr>
              <w:t>Investments/ Management</w:t>
            </w:r>
          </w:p>
        </w:tc>
        <w:tc>
          <w:tcPr>
            <w:tcW w:w="1620" w:type="dxa"/>
          </w:tcPr>
          <w:p w:rsidR="00DF6843" w:rsidRDefault="00705059" w:rsidP="00705059">
            <w:pPr>
              <w:jc w:val="center"/>
              <w:rPr>
                <w:rFonts w:ascii="Arial" w:hAnsi="Arial"/>
                <w:sz w:val="20"/>
              </w:rPr>
            </w:pPr>
            <w:r>
              <w:rPr>
                <w:rFonts w:ascii="Arial" w:hAnsi="Arial"/>
                <w:sz w:val="20"/>
              </w:rPr>
              <w:t xml:space="preserve">                </w:t>
            </w:r>
          </w:p>
        </w:tc>
        <w:tc>
          <w:tcPr>
            <w:tcW w:w="1260" w:type="dxa"/>
          </w:tcPr>
          <w:p w:rsidR="00DF6843" w:rsidRDefault="00A838E2" w:rsidP="00A838E2">
            <w:pPr>
              <w:jc w:val="center"/>
              <w:rPr>
                <w:rFonts w:ascii="Arial" w:hAnsi="Arial"/>
                <w:sz w:val="20"/>
              </w:rPr>
            </w:pPr>
            <w:r>
              <w:rPr>
                <w:rFonts w:ascii="Arial" w:hAnsi="Arial"/>
                <w:sz w:val="20"/>
              </w:rPr>
              <w:t xml:space="preserve">   </w:t>
            </w:r>
            <w:r w:rsidR="00E0627A">
              <w:rPr>
                <w:rFonts w:ascii="Arial" w:hAnsi="Arial"/>
                <w:sz w:val="20"/>
              </w:rPr>
              <w:t xml:space="preserve"> </w:t>
            </w:r>
            <w:r>
              <w:rPr>
                <w:rFonts w:ascii="Arial" w:hAnsi="Arial"/>
                <w:sz w:val="20"/>
              </w:rPr>
              <w:t xml:space="preserve"> </w:t>
            </w:r>
            <w:r w:rsidR="00F46019">
              <w:rPr>
                <w:rFonts w:ascii="Arial" w:hAnsi="Arial"/>
                <w:sz w:val="20"/>
              </w:rPr>
              <w:t xml:space="preserve"> </w:t>
            </w:r>
            <w:r>
              <w:rPr>
                <w:rFonts w:ascii="Arial" w:hAnsi="Arial"/>
                <w:sz w:val="20"/>
              </w:rPr>
              <w:t xml:space="preserve">   </w:t>
            </w:r>
            <w:r w:rsidR="001C6296">
              <w:rPr>
                <w:rFonts w:ascii="Arial" w:hAnsi="Arial"/>
                <w:sz w:val="20"/>
              </w:rPr>
              <w:t xml:space="preserve">  </w:t>
            </w:r>
            <w:r w:rsidR="00063730">
              <w:rPr>
                <w:rFonts w:ascii="Arial" w:hAnsi="Arial"/>
                <w:sz w:val="20"/>
              </w:rPr>
              <w:t>5</w:t>
            </w:r>
            <w:r w:rsidR="00FF1A35">
              <w:rPr>
                <w:rFonts w:ascii="Arial" w:hAnsi="Arial"/>
                <w:sz w:val="20"/>
              </w:rPr>
              <w:t>60</w:t>
            </w:r>
            <w:r>
              <w:rPr>
                <w:rFonts w:ascii="Arial" w:hAnsi="Arial"/>
                <w:sz w:val="20"/>
              </w:rPr>
              <w:t xml:space="preserve">  </w:t>
            </w:r>
          </w:p>
        </w:tc>
        <w:tc>
          <w:tcPr>
            <w:tcW w:w="1080" w:type="dxa"/>
          </w:tcPr>
          <w:p w:rsidR="00DF6843" w:rsidRDefault="00E87825" w:rsidP="00E87825">
            <w:pPr>
              <w:jc w:val="center"/>
              <w:rPr>
                <w:rFonts w:ascii="Arial" w:hAnsi="Arial"/>
                <w:sz w:val="20"/>
              </w:rPr>
            </w:pPr>
            <w:r>
              <w:rPr>
                <w:rFonts w:ascii="Arial" w:hAnsi="Arial"/>
                <w:sz w:val="20"/>
              </w:rPr>
              <w:t xml:space="preserve">   </w:t>
            </w:r>
            <w:r w:rsidR="00F46019">
              <w:rPr>
                <w:rFonts w:ascii="Arial" w:hAnsi="Arial"/>
                <w:sz w:val="20"/>
              </w:rPr>
              <w:t xml:space="preserve">  </w:t>
            </w:r>
            <w:r>
              <w:rPr>
                <w:rFonts w:ascii="Arial" w:hAnsi="Arial"/>
                <w:sz w:val="20"/>
              </w:rPr>
              <w:t xml:space="preserve">   </w:t>
            </w:r>
            <w:r w:rsidR="00B6691D">
              <w:rPr>
                <w:rFonts w:ascii="Arial" w:hAnsi="Arial"/>
                <w:sz w:val="20"/>
              </w:rPr>
              <w:t xml:space="preserve"> </w:t>
            </w:r>
            <w:r w:rsidR="00F46019">
              <w:rPr>
                <w:rFonts w:ascii="Arial" w:hAnsi="Arial"/>
                <w:sz w:val="20"/>
              </w:rPr>
              <w:t>5</w:t>
            </w:r>
            <w:r w:rsidR="00FF1A35">
              <w:rPr>
                <w:rFonts w:ascii="Arial" w:hAnsi="Arial"/>
                <w:sz w:val="20"/>
              </w:rPr>
              <w:t>60</w:t>
            </w:r>
          </w:p>
        </w:tc>
        <w:tc>
          <w:tcPr>
            <w:tcW w:w="1620" w:type="dxa"/>
          </w:tcPr>
          <w:p w:rsidR="00DF6843" w:rsidRDefault="00C21B4C" w:rsidP="00FC2FD4">
            <w:pPr>
              <w:jc w:val="center"/>
              <w:rPr>
                <w:rFonts w:ascii="Arial" w:hAnsi="Arial"/>
                <w:sz w:val="20"/>
              </w:rPr>
            </w:pPr>
            <w:r>
              <w:rPr>
                <w:rFonts w:ascii="Arial" w:hAnsi="Arial"/>
                <w:sz w:val="20"/>
              </w:rPr>
              <w:t xml:space="preserve">               </w:t>
            </w:r>
            <w:r w:rsidR="00716463">
              <w:rPr>
                <w:rFonts w:ascii="Arial" w:hAnsi="Arial"/>
                <w:sz w:val="20"/>
              </w:rPr>
              <w:t xml:space="preserve">  </w:t>
            </w:r>
            <w:r>
              <w:rPr>
                <w:rFonts w:ascii="Arial" w:hAnsi="Arial"/>
                <w:sz w:val="20"/>
              </w:rPr>
              <w:t xml:space="preserve">   </w:t>
            </w:r>
            <w:r w:rsidR="00FF1A35">
              <w:rPr>
                <w:rFonts w:ascii="Arial" w:hAnsi="Arial"/>
                <w:sz w:val="20"/>
              </w:rPr>
              <w:t>72</w:t>
            </w:r>
          </w:p>
        </w:tc>
      </w:tr>
      <w:tr w:rsidR="00DF6843">
        <w:trPr>
          <w:cantSplit/>
        </w:trPr>
        <w:tc>
          <w:tcPr>
            <w:tcW w:w="3888" w:type="dxa"/>
          </w:tcPr>
          <w:p w:rsidR="00DF6843" w:rsidRDefault="00DF6843">
            <w:pPr>
              <w:jc w:val="both"/>
              <w:rPr>
                <w:rFonts w:ascii="Arial" w:hAnsi="Arial"/>
                <w:sz w:val="20"/>
              </w:rPr>
            </w:pPr>
            <w:r>
              <w:rPr>
                <w:rFonts w:ascii="Arial" w:hAnsi="Arial"/>
                <w:sz w:val="20"/>
              </w:rPr>
              <w:t xml:space="preserve">Trading </w:t>
            </w:r>
            <w:r w:rsidR="001D6D90">
              <w:rPr>
                <w:rFonts w:ascii="Arial" w:hAnsi="Arial"/>
                <w:sz w:val="20"/>
              </w:rPr>
              <w:t>–</w:t>
            </w:r>
            <w:r>
              <w:rPr>
                <w:rFonts w:ascii="Arial" w:hAnsi="Arial"/>
                <w:sz w:val="20"/>
              </w:rPr>
              <w:t xml:space="preserve"> Others</w:t>
            </w:r>
          </w:p>
        </w:tc>
        <w:tc>
          <w:tcPr>
            <w:tcW w:w="1620" w:type="dxa"/>
          </w:tcPr>
          <w:p w:rsidR="00DF6843" w:rsidRDefault="00063730">
            <w:pPr>
              <w:jc w:val="right"/>
              <w:rPr>
                <w:rFonts w:ascii="Arial" w:hAnsi="Arial"/>
                <w:sz w:val="20"/>
              </w:rPr>
            </w:pPr>
            <w:r>
              <w:rPr>
                <w:rFonts w:ascii="Arial" w:hAnsi="Arial"/>
                <w:sz w:val="20"/>
              </w:rPr>
              <w:t>657</w:t>
            </w:r>
          </w:p>
        </w:tc>
        <w:tc>
          <w:tcPr>
            <w:tcW w:w="1260" w:type="dxa"/>
          </w:tcPr>
          <w:p w:rsidR="00DF6843" w:rsidRDefault="00E0627A" w:rsidP="00A838E2">
            <w:pPr>
              <w:jc w:val="center"/>
              <w:rPr>
                <w:rFonts w:ascii="Arial" w:hAnsi="Arial"/>
                <w:sz w:val="20"/>
              </w:rPr>
            </w:pPr>
            <w:r>
              <w:rPr>
                <w:rFonts w:ascii="Arial" w:hAnsi="Arial"/>
                <w:sz w:val="20"/>
              </w:rPr>
              <w:t xml:space="preserve">   </w:t>
            </w:r>
            <w:r w:rsidR="00A838E2">
              <w:rPr>
                <w:rFonts w:ascii="Arial" w:hAnsi="Arial"/>
                <w:sz w:val="20"/>
              </w:rPr>
              <w:t xml:space="preserve">   </w:t>
            </w:r>
            <w:r w:rsidR="00063730">
              <w:rPr>
                <w:rFonts w:ascii="Arial" w:hAnsi="Arial"/>
                <w:sz w:val="20"/>
              </w:rPr>
              <w:t>26,831</w:t>
            </w:r>
          </w:p>
        </w:tc>
        <w:tc>
          <w:tcPr>
            <w:tcW w:w="1080" w:type="dxa"/>
          </w:tcPr>
          <w:p w:rsidR="00DF6843" w:rsidRDefault="00F46019">
            <w:pPr>
              <w:jc w:val="right"/>
              <w:rPr>
                <w:rFonts w:ascii="Arial" w:hAnsi="Arial"/>
                <w:sz w:val="20"/>
              </w:rPr>
            </w:pPr>
            <w:r>
              <w:rPr>
                <w:rFonts w:ascii="Arial" w:hAnsi="Arial"/>
                <w:sz w:val="20"/>
              </w:rPr>
              <w:t xml:space="preserve"> </w:t>
            </w:r>
            <w:r w:rsidR="00FF1A35">
              <w:rPr>
                <w:rFonts w:ascii="Arial" w:hAnsi="Arial"/>
                <w:sz w:val="20"/>
              </w:rPr>
              <w:t>27,488</w:t>
            </w:r>
          </w:p>
        </w:tc>
        <w:tc>
          <w:tcPr>
            <w:tcW w:w="1620" w:type="dxa"/>
          </w:tcPr>
          <w:p w:rsidR="00DF6843" w:rsidRDefault="00B6691D" w:rsidP="00B6691D">
            <w:pPr>
              <w:jc w:val="center"/>
              <w:rPr>
                <w:rFonts w:ascii="Arial" w:hAnsi="Arial"/>
                <w:sz w:val="20"/>
              </w:rPr>
            </w:pPr>
            <w:r>
              <w:rPr>
                <w:rFonts w:ascii="Arial" w:hAnsi="Arial"/>
                <w:sz w:val="20"/>
              </w:rPr>
              <w:t xml:space="preserve">                  </w:t>
            </w:r>
            <w:r w:rsidR="00FF1A35">
              <w:rPr>
                <w:rFonts w:ascii="Arial" w:hAnsi="Arial"/>
                <w:sz w:val="20"/>
              </w:rPr>
              <w:t>773</w:t>
            </w:r>
          </w:p>
        </w:tc>
      </w:tr>
      <w:tr w:rsidR="00DF6843">
        <w:trPr>
          <w:cantSplit/>
        </w:trPr>
        <w:tc>
          <w:tcPr>
            <w:tcW w:w="3888" w:type="dxa"/>
          </w:tcPr>
          <w:p w:rsidR="00DF6843" w:rsidRDefault="00DF6843">
            <w:pPr>
              <w:jc w:val="both"/>
              <w:rPr>
                <w:rFonts w:ascii="Arial" w:hAnsi="Arial"/>
                <w:sz w:val="20"/>
              </w:rPr>
            </w:pPr>
            <w:r>
              <w:rPr>
                <w:rFonts w:ascii="Arial" w:hAnsi="Arial"/>
                <w:sz w:val="20"/>
              </w:rPr>
              <w:t>Unallocated Corp. expenses</w:t>
            </w:r>
          </w:p>
        </w:tc>
        <w:tc>
          <w:tcPr>
            <w:tcW w:w="1620" w:type="dxa"/>
          </w:tcPr>
          <w:p w:rsidR="00DF6843" w:rsidRDefault="00DF6843">
            <w:pPr>
              <w:jc w:val="right"/>
              <w:rPr>
                <w:rFonts w:ascii="Arial" w:hAnsi="Arial"/>
                <w:sz w:val="20"/>
              </w:rPr>
            </w:pPr>
            <w:r>
              <w:rPr>
                <w:rFonts w:ascii="Arial" w:hAnsi="Arial"/>
                <w:sz w:val="20"/>
              </w:rPr>
              <w:t>-</w:t>
            </w:r>
          </w:p>
        </w:tc>
        <w:tc>
          <w:tcPr>
            <w:tcW w:w="1260" w:type="dxa"/>
          </w:tcPr>
          <w:p w:rsidR="00DF6843" w:rsidRDefault="00F46019" w:rsidP="00F46019">
            <w:pPr>
              <w:jc w:val="center"/>
              <w:rPr>
                <w:rFonts w:ascii="Arial" w:hAnsi="Arial"/>
                <w:sz w:val="20"/>
              </w:rPr>
            </w:pPr>
            <w:r>
              <w:rPr>
                <w:rFonts w:ascii="Arial" w:hAnsi="Arial"/>
                <w:sz w:val="20"/>
              </w:rPr>
              <w:t xml:space="preserve">           </w:t>
            </w:r>
            <w:r w:rsidR="00DF6843">
              <w:rPr>
                <w:rFonts w:ascii="Arial" w:hAnsi="Arial"/>
                <w:sz w:val="20"/>
              </w:rPr>
              <w:t>-</w:t>
            </w:r>
          </w:p>
        </w:tc>
        <w:tc>
          <w:tcPr>
            <w:tcW w:w="1080" w:type="dxa"/>
          </w:tcPr>
          <w:p w:rsidR="00DF6843" w:rsidRDefault="00DF6843">
            <w:pPr>
              <w:jc w:val="right"/>
              <w:rPr>
                <w:rFonts w:ascii="Arial" w:hAnsi="Arial"/>
                <w:sz w:val="20"/>
              </w:rPr>
            </w:pPr>
            <w:r>
              <w:rPr>
                <w:rFonts w:ascii="Arial" w:hAnsi="Arial"/>
                <w:sz w:val="20"/>
              </w:rPr>
              <w:t>-</w:t>
            </w:r>
          </w:p>
        </w:tc>
        <w:tc>
          <w:tcPr>
            <w:tcW w:w="1620" w:type="dxa"/>
          </w:tcPr>
          <w:p w:rsidR="00DF6843" w:rsidRDefault="00C21B4C" w:rsidP="00C21B4C">
            <w:pPr>
              <w:jc w:val="center"/>
              <w:rPr>
                <w:rFonts w:ascii="Arial" w:hAnsi="Arial"/>
                <w:sz w:val="20"/>
              </w:rPr>
            </w:pPr>
            <w:r>
              <w:rPr>
                <w:rFonts w:ascii="Arial" w:hAnsi="Arial"/>
                <w:sz w:val="20"/>
              </w:rPr>
              <w:t xml:space="preserve">                     </w:t>
            </w:r>
            <w:r w:rsidR="00716463">
              <w:rPr>
                <w:rFonts w:ascii="Arial" w:hAnsi="Arial"/>
                <w:sz w:val="20"/>
              </w:rPr>
              <w:t>4</w:t>
            </w:r>
          </w:p>
        </w:tc>
      </w:tr>
      <w:tr w:rsidR="00DF6843" w:rsidRPr="000C4B22">
        <w:trPr>
          <w:cantSplit/>
        </w:trPr>
        <w:tc>
          <w:tcPr>
            <w:tcW w:w="3888" w:type="dxa"/>
          </w:tcPr>
          <w:p w:rsidR="00DF6843" w:rsidRDefault="00DF6843">
            <w:pPr>
              <w:pStyle w:val="Heading1"/>
              <w:rPr>
                <w:b w:val="0"/>
              </w:rPr>
            </w:pPr>
            <w:r>
              <w:rPr>
                <w:b w:val="0"/>
              </w:rPr>
              <w:lastRenderedPageBreak/>
              <w:t>Total</w:t>
            </w:r>
          </w:p>
        </w:tc>
        <w:tc>
          <w:tcPr>
            <w:tcW w:w="1620" w:type="dxa"/>
            <w:tcBorders>
              <w:top w:val="single" w:sz="4" w:space="0" w:color="auto"/>
            </w:tcBorders>
          </w:tcPr>
          <w:p w:rsidR="00DF6843" w:rsidRDefault="00063730">
            <w:pPr>
              <w:jc w:val="right"/>
              <w:rPr>
                <w:rFonts w:ascii="Arial" w:hAnsi="Arial"/>
                <w:sz w:val="20"/>
              </w:rPr>
            </w:pPr>
            <w:r>
              <w:rPr>
                <w:rFonts w:ascii="Arial" w:hAnsi="Arial"/>
                <w:sz w:val="20"/>
              </w:rPr>
              <w:t>45,350</w:t>
            </w:r>
          </w:p>
        </w:tc>
        <w:tc>
          <w:tcPr>
            <w:tcW w:w="1260" w:type="dxa"/>
            <w:tcBorders>
              <w:top w:val="single" w:sz="4" w:space="0" w:color="auto"/>
            </w:tcBorders>
          </w:tcPr>
          <w:p w:rsidR="00DF6843" w:rsidRDefault="001C6296" w:rsidP="001C6296">
            <w:pPr>
              <w:jc w:val="center"/>
              <w:rPr>
                <w:rFonts w:ascii="Arial" w:hAnsi="Arial"/>
                <w:sz w:val="20"/>
              </w:rPr>
            </w:pPr>
            <w:r>
              <w:rPr>
                <w:rFonts w:ascii="Arial" w:hAnsi="Arial"/>
                <w:sz w:val="20"/>
              </w:rPr>
              <w:t xml:space="preserve">   </w:t>
            </w:r>
            <w:r w:rsidR="00063730">
              <w:rPr>
                <w:rFonts w:ascii="Arial" w:hAnsi="Arial"/>
                <w:sz w:val="20"/>
              </w:rPr>
              <w:t>369,183</w:t>
            </w:r>
          </w:p>
        </w:tc>
        <w:tc>
          <w:tcPr>
            <w:tcW w:w="1080" w:type="dxa"/>
            <w:tcBorders>
              <w:top w:val="single" w:sz="4" w:space="0" w:color="auto"/>
            </w:tcBorders>
          </w:tcPr>
          <w:p w:rsidR="00DF6843" w:rsidRDefault="00FF1A35">
            <w:pPr>
              <w:jc w:val="right"/>
              <w:rPr>
                <w:rFonts w:ascii="Arial" w:hAnsi="Arial"/>
                <w:sz w:val="20"/>
              </w:rPr>
            </w:pPr>
            <w:r>
              <w:rPr>
                <w:rFonts w:ascii="Arial" w:hAnsi="Arial"/>
                <w:sz w:val="20"/>
              </w:rPr>
              <w:t>414,533</w:t>
            </w:r>
          </w:p>
        </w:tc>
        <w:tc>
          <w:tcPr>
            <w:tcW w:w="1620" w:type="dxa"/>
            <w:tcBorders>
              <w:top w:val="single" w:sz="4" w:space="0" w:color="auto"/>
            </w:tcBorders>
          </w:tcPr>
          <w:p w:rsidR="00DF6843" w:rsidRDefault="00716463">
            <w:pPr>
              <w:jc w:val="right"/>
              <w:rPr>
                <w:rFonts w:ascii="Arial" w:hAnsi="Arial"/>
                <w:sz w:val="20"/>
              </w:rPr>
            </w:pPr>
            <w:r>
              <w:rPr>
                <w:rFonts w:ascii="Arial" w:hAnsi="Arial"/>
                <w:sz w:val="20"/>
              </w:rPr>
              <w:t>1</w:t>
            </w:r>
            <w:r w:rsidR="00FF1A35">
              <w:rPr>
                <w:rFonts w:ascii="Arial" w:hAnsi="Arial"/>
                <w:sz w:val="20"/>
              </w:rPr>
              <w:t>5,958</w:t>
            </w:r>
          </w:p>
        </w:tc>
      </w:tr>
      <w:tr w:rsidR="00DF6843">
        <w:trPr>
          <w:cantSplit/>
        </w:trPr>
        <w:tc>
          <w:tcPr>
            <w:tcW w:w="3888" w:type="dxa"/>
          </w:tcPr>
          <w:p w:rsidR="00DF6843" w:rsidRDefault="00DF6843">
            <w:pPr>
              <w:jc w:val="both"/>
              <w:rPr>
                <w:rFonts w:ascii="Arial" w:hAnsi="Arial"/>
                <w:sz w:val="20"/>
              </w:rPr>
            </w:pPr>
          </w:p>
          <w:p w:rsidR="00DF6843" w:rsidRDefault="00DF6843">
            <w:pPr>
              <w:jc w:val="both"/>
              <w:rPr>
                <w:rFonts w:ascii="Arial" w:hAnsi="Arial"/>
                <w:sz w:val="20"/>
              </w:rPr>
            </w:pPr>
            <w:r>
              <w:rPr>
                <w:rFonts w:ascii="Arial" w:hAnsi="Arial"/>
                <w:sz w:val="20"/>
              </w:rPr>
              <w:t>Elimination</w:t>
            </w:r>
          </w:p>
        </w:tc>
        <w:tc>
          <w:tcPr>
            <w:tcW w:w="1620" w:type="dxa"/>
            <w:tcBorders>
              <w:bottom w:val="single" w:sz="4" w:space="0" w:color="auto"/>
            </w:tcBorders>
          </w:tcPr>
          <w:p w:rsidR="00DF6843" w:rsidRDefault="00DF6843">
            <w:pPr>
              <w:jc w:val="center"/>
              <w:rPr>
                <w:rFonts w:ascii="Arial" w:hAnsi="Arial"/>
                <w:sz w:val="20"/>
              </w:rPr>
            </w:pPr>
          </w:p>
          <w:p w:rsidR="00DF6843" w:rsidRDefault="00C4525F" w:rsidP="00063730">
            <w:pPr>
              <w:jc w:val="right"/>
              <w:rPr>
                <w:rFonts w:ascii="Arial" w:hAnsi="Arial"/>
                <w:sz w:val="20"/>
              </w:rPr>
            </w:pPr>
            <w:r>
              <w:rPr>
                <w:rFonts w:ascii="Arial" w:hAnsi="Arial"/>
                <w:sz w:val="20"/>
              </w:rPr>
              <w:t xml:space="preserve">  </w:t>
            </w:r>
            <w:r w:rsidR="00063730">
              <w:rPr>
                <w:rFonts w:ascii="Arial" w:hAnsi="Arial"/>
                <w:sz w:val="20"/>
              </w:rPr>
              <w:t xml:space="preserve">   </w:t>
            </w:r>
            <w:r>
              <w:rPr>
                <w:rFonts w:ascii="Arial" w:hAnsi="Arial"/>
                <w:sz w:val="20"/>
              </w:rPr>
              <w:t xml:space="preserve">   </w:t>
            </w:r>
            <w:r w:rsidR="00F46019">
              <w:rPr>
                <w:rFonts w:ascii="Arial" w:hAnsi="Arial"/>
                <w:sz w:val="20"/>
              </w:rPr>
              <w:t xml:space="preserve">   </w:t>
            </w:r>
            <w:r w:rsidR="008941E6">
              <w:rPr>
                <w:rFonts w:ascii="Arial" w:hAnsi="Arial"/>
                <w:sz w:val="20"/>
              </w:rPr>
              <w:t>(</w:t>
            </w:r>
            <w:r w:rsidR="00063730">
              <w:rPr>
                <w:rFonts w:ascii="Arial" w:hAnsi="Arial"/>
                <w:sz w:val="20"/>
              </w:rPr>
              <w:t>45,350</w:t>
            </w:r>
            <w:r w:rsidR="00DF6843">
              <w:rPr>
                <w:rFonts w:ascii="Arial" w:hAnsi="Arial"/>
                <w:sz w:val="20"/>
              </w:rPr>
              <w:t>)</w:t>
            </w:r>
            <w:r w:rsidR="00F46019">
              <w:rPr>
                <w:rFonts w:ascii="Arial" w:hAnsi="Arial"/>
                <w:sz w:val="20"/>
              </w:rPr>
              <w:t xml:space="preserve"> </w:t>
            </w:r>
          </w:p>
        </w:tc>
        <w:tc>
          <w:tcPr>
            <w:tcW w:w="1260" w:type="dxa"/>
            <w:tcBorders>
              <w:bottom w:val="single" w:sz="4" w:space="0" w:color="auto"/>
            </w:tcBorders>
          </w:tcPr>
          <w:p w:rsidR="00DF6843" w:rsidRDefault="00DF6843">
            <w:pPr>
              <w:jc w:val="center"/>
              <w:rPr>
                <w:rFonts w:ascii="Arial" w:hAnsi="Arial"/>
                <w:sz w:val="20"/>
              </w:rPr>
            </w:pPr>
          </w:p>
          <w:p w:rsidR="00DF6843" w:rsidRDefault="00DF6843">
            <w:pPr>
              <w:jc w:val="right"/>
              <w:rPr>
                <w:rFonts w:ascii="Arial" w:hAnsi="Arial"/>
                <w:sz w:val="20"/>
              </w:rPr>
            </w:pPr>
            <w:r>
              <w:rPr>
                <w:rFonts w:ascii="Arial" w:hAnsi="Arial"/>
                <w:sz w:val="20"/>
              </w:rPr>
              <w:t>-</w:t>
            </w:r>
          </w:p>
        </w:tc>
        <w:tc>
          <w:tcPr>
            <w:tcW w:w="1080" w:type="dxa"/>
            <w:tcBorders>
              <w:bottom w:val="single" w:sz="4" w:space="0" w:color="auto"/>
            </w:tcBorders>
          </w:tcPr>
          <w:p w:rsidR="00DF6843" w:rsidRDefault="00DF6843">
            <w:pPr>
              <w:jc w:val="center"/>
              <w:rPr>
                <w:rFonts w:ascii="Arial" w:hAnsi="Arial"/>
                <w:sz w:val="20"/>
              </w:rPr>
            </w:pPr>
          </w:p>
          <w:p w:rsidR="00DF6843" w:rsidRDefault="00FF1A35">
            <w:pPr>
              <w:jc w:val="right"/>
              <w:rPr>
                <w:rFonts w:ascii="Arial" w:hAnsi="Arial"/>
                <w:sz w:val="20"/>
              </w:rPr>
            </w:pPr>
            <w:r>
              <w:rPr>
                <w:rFonts w:ascii="Arial" w:hAnsi="Arial"/>
                <w:sz w:val="20"/>
              </w:rPr>
              <w:t>(45,350</w:t>
            </w:r>
            <w:r w:rsidR="00DF6843">
              <w:rPr>
                <w:rFonts w:ascii="Arial" w:hAnsi="Arial"/>
                <w:sz w:val="20"/>
              </w:rPr>
              <w:t>)</w:t>
            </w:r>
          </w:p>
        </w:tc>
        <w:tc>
          <w:tcPr>
            <w:tcW w:w="1620" w:type="dxa"/>
            <w:tcBorders>
              <w:bottom w:val="single" w:sz="4" w:space="0" w:color="auto"/>
            </w:tcBorders>
          </w:tcPr>
          <w:p w:rsidR="00DF6843" w:rsidRDefault="00DF6843" w:rsidP="000C4B22">
            <w:pPr>
              <w:rPr>
                <w:rFonts w:ascii="Arial" w:hAnsi="Arial"/>
                <w:sz w:val="20"/>
              </w:rPr>
            </w:pPr>
          </w:p>
          <w:p w:rsidR="002D3BF1" w:rsidRDefault="002D3BF1" w:rsidP="000C4B22">
            <w:pPr>
              <w:rPr>
                <w:rFonts w:ascii="Arial" w:hAnsi="Arial"/>
                <w:sz w:val="20"/>
              </w:rPr>
            </w:pPr>
            <w:r>
              <w:rPr>
                <w:rFonts w:ascii="Arial" w:hAnsi="Arial"/>
                <w:sz w:val="20"/>
              </w:rPr>
              <w:t xml:space="preserve">           </w:t>
            </w:r>
            <w:r w:rsidR="001A2C1A">
              <w:rPr>
                <w:rFonts w:ascii="Arial" w:hAnsi="Arial"/>
                <w:sz w:val="20"/>
              </w:rPr>
              <w:t xml:space="preserve">       </w:t>
            </w:r>
          </w:p>
        </w:tc>
      </w:tr>
      <w:tr w:rsidR="00DF6843">
        <w:trPr>
          <w:cantSplit/>
        </w:trPr>
        <w:tc>
          <w:tcPr>
            <w:tcW w:w="3888" w:type="dxa"/>
          </w:tcPr>
          <w:p w:rsidR="00DF6843" w:rsidRDefault="00DF6843">
            <w:pPr>
              <w:pStyle w:val="Heading1"/>
              <w:rPr>
                <w:b w:val="0"/>
              </w:rPr>
            </w:pPr>
            <w:r>
              <w:rPr>
                <w:b w:val="0"/>
              </w:rPr>
              <w:t>Consolidated</w:t>
            </w:r>
          </w:p>
        </w:tc>
        <w:tc>
          <w:tcPr>
            <w:tcW w:w="1620" w:type="dxa"/>
            <w:tcBorders>
              <w:top w:val="single" w:sz="4" w:space="0" w:color="auto"/>
              <w:bottom w:val="double" w:sz="4" w:space="0" w:color="auto"/>
            </w:tcBorders>
          </w:tcPr>
          <w:p w:rsidR="00DF6843" w:rsidRDefault="00DF6843">
            <w:pPr>
              <w:jc w:val="right"/>
              <w:rPr>
                <w:rFonts w:ascii="Arial" w:hAnsi="Arial"/>
                <w:sz w:val="20"/>
              </w:rPr>
            </w:pPr>
            <w:r>
              <w:rPr>
                <w:rFonts w:ascii="Arial" w:hAnsi="Arial"/>
                <w:sz w:val="20"/>
              </w:rPr>
              <w:t>-</w:t>
            </w:r>
          </w:p>
        </w:tc>
        <w:tc>
          <w:tcPr>
            <w:tcW w:w="1260" w:type="dxa"/>
            <w:tcBorders>
              <w:top w:val="single" w:sz="4" w:space="0" w:color="auto"/>
              <w:bottom w:val="double" w:sz="4" w:space="0" w:color="auto"/>
            </w:tcBorders>
          </w:tcPr>
          <w:p w:rsidR="00DF6843" w:rsidRDefault="00885372" w:rsidP="00E81B9D">
            <w:pPr>
              <w:jc w:val="center"/>
              <w:rPr>
                <w:rFonts w:ascii="Arial" w:hAnsi="Arial"/>
                <w:b/>
                <w:sz w:val="20"/>
              </w:rPr>
            </w:pPr>
            <w:r>
              <w:rPr>
                <w:rFonts w:ascii="Arial" w:hAnsi="Arial"/>
                <w:b/>
                <w:sz w:val="20"/>
              </w:rPr>
              <w:t xml:space="preserve">   </w:t>
            </w:r>
            <w:r w:rsidR="00705059">
              <w:rPr>
                <w:rFonts w:ascii="Arial" w:hAnsi="Arial"/>
                <w:b/>
                <w:sz w:val="20"/>
              </w:rPr>
              <w:t xml:space="preserve"> </w:t>
            </w:r>
            <w:r w:rsidR="00063730">
              <w:rPr>
                <w:rFonts w:ascii="Arial" w:hAnsi="Arial"/>
                <w:b/>
                <w:sz w:val="20"/>
              </w:rPr>
              <w:t>369,183</w:t>
            </w:r>
          </w:p>
        </w:tc>
        <w:tc>
          <w:tcPr>
            <w:tcW w:w="1080" w:type="dxa"/>
            <w:tcBorders>
              <w:top w:val="single" w:sz="4" w:space="0" w:color="auto"/>
              <w:bottom w:val="double" w:sz="4" w:space="0" w:color="auto"/>
            </w:tcBorders>
          </w:tcPr>
          <w:p w:rsidR="00DF6843" w:rsidRDefault="00FF1A35">
            <w:pPr>
              <w:jc w:val="right"/>
              <w:rPr>
                <w:rFonts w:ascii="Arial" w:hAnsi="Arial"/>
                <w:b/>
                <w:sz w:val="20"/>
              </w:rPr>
            </w:pPr>
            <w:r>
              <w:rPr>
                <w:rFonts w:ascii="Arial" w:hAnsi="Arial"/>
                <w:b/>
                <w:sz w:val="20"/>
              </w:rPr>
              <w:t>369,183</w:t>
            </w:r>
          </w:p>
        </w:tc>
        <w:tc>
          <w:tcPr>
            <w:tcW w:w="1620" w:type="dxa"/>
            <w:tcBorders>
              <w:top w:val="single" w:sz="4" w:space="0" w:color="auto"/>
            </w:tcBorders>
          </w:tcPr>
          <w:p w:rsidR="00DF6843" w:rsidRDefault="00716463">
            <w:pPr>
              <w:jc w:val="right"/>
              <w:rPr>
                <w:rFonts w:ascii="Arial" w:hAnsi="Arial"/>
                <w:sz w:val="20"/>
              </w:rPr>
            </w:pPr>
            <w:r>
              <w:rPr>
                <w:rFonts w:ascii="Arial" w:hAnsi="Arial"/>
                <w:sz w:val="20"/>
              </w:rPr>
              <w:t>1</w:t>
            </w:r>
            <w:r w:rsidR="00FF1A35">
              <w:rPr>
                <w:rFonts w:ascii="Arial" w:hAnsi="Arial"/>
                <w:sz w:val="20"/>
              </w:rPr>
              <w:t>5,958</w:t>
            </w:r>
          </w:p>
        </w:tc>
      </w:tr>
      <w:tr w:rsidR="00DF6843">
        <w:trPr>
          <w:cantSplit/>
        </w:trPr>
        <w:tc>
          <w:tcPr>
            <w:tcW w:w="3888" w:type="dxa"/>
          </w:tcPr>
          <w:p w:rsidR="00DF6843" w:rsidRDefault="00DF6843">
            <w:pPr>
              <w:jc w:val="both"/>
              <w:rPr>
                <w:rFonts w:ascii="Arial" w:hAnsi="Arial"/>
                <w:sz w:val="20"/>
              </w:rPr>
            </w:pPr>
            <w:r>
              <w:rPr>
                <w:rFonts w:ascii="Arial" w:hAnsi="Arial"/>
                <w:sz w:val="20"/>
              </w:rPr>
              <w:t>Financing cost</w:t>
            </w:r>
            <w:r w:rsidR="00FF1A35">
              <w:rPr>
                <w:rFonts w:ascii="Arial" w:hAnsi="Arial"/>
                <w:sz w:val="20"/>
              </w:rPr>
              <w:t xml:space="preserve">     </w:t>
            </w:r>
          </w:p>
        </w:tc>
        <w:tc>
          <w:tcPr>
            <w:tcW w:w="1620" w:type="dxa"/>
            <w:tcBorders>
              <w:top w:val="double" w:sz="4" w:space="0" w:color="auto"/>
            </w:tcBorders>
          </w:tcPr>
          <w:p w:rsidR="00DF6843" w:rsidRDefault="00DF6843">
            <w:pPr>
              <w:jc w:val="center"/>
              <w:rPr>
                <w:rFonts w:ascii="Arial" w:hAnsi="Arial"/>
                <w:sz w:val="20"/>
              </w:rPr>
            </w:pPr>
          </w:p>
        </w:tc>
        <w:tc>
          <w:tcPr>
            <w:tcW w:w="1260" w:type="dxa"/>
            <w:tcBorders>
              <w:top w:val="double" w:sz="4" w:space="0" w:color="auto"/>
            </w:tcBorders>
          </w:tcPr>
          <w:p w:rsidR="00DF6843" w:rsidRDefault="00DF6843">
            <w:pPr>
              <w:jc w:val="center"/>
              <w:rPr>
                <w:rFonts w:ascii="Arial" w:hAnsi="Arial"/>
                <w:sz w:val="20"/>
              </w:rPr>
            </w:pPr>
          </w:p>
        </w:tc>
        <w:tc>
          <w:tcPr>
            <w:tcW w:w="1080" w:type="dxa"/>
            <w:tcBorders>
              <w:top w:val="double" w:sz="4" w:space="0" w:color="auto"/>
            </w:tcBorders>
          </w:tcPr>
          <w:p w:rsidR="00DF6843" w:rsidRDefault="00FF1A35">
            <w:pPr>
              <w:jc w:val="center"/>
              <w:rPr>
                <w:rFonts w:ascii="Arial" w:hAnsi="Arial"/>
                <w:sz w:val="20"/>
              </w:rPr>
            </w:pPr>
            <w:r>
              <w:rPr>
                <w:rFonts w:ascii="Arial" w:hAnsi="Arial"/>
                <w:sz w:val="20"/>
              </w:rPr>
              <w:t xml:space="preserve">         </w:t>
            </w:r>
          </w:p>
        </w:tc>
        <w:tc>
          <w:tcPr>
            <w:tcW w:w="1620" w:type="dxa"/>
          </w:tcPr>
          <w:p w:rsidR="00DF6843" w:rsidRDefault="00FF1A35">
            <w:pPr>
              <w:jc w:val="right"/>
              <w:rPr>
                <w:rFonts w:ascii="Arial" w:hAnsi="Arial"/>
                <w:sz w:val="20"/>
              </w:rPr>
            </w:pPr>
            <w:r>
              <w:rPr>
                <w:rFonts w:ascii="Arial" w:hAnsi="Arial"/>
                <w:sz w:val="20"/>
              </w:rPr>
              <w:t xml:space="preserve">  (3,837</w:t>
            </w:r>
            <w:r w:rsidR="00DF6843">
              <w:rPr>
                <w:rFonts w:ascii="Arial" w:hAnsi="Arial"/>
                <w:sz w:val="20"/>
              </w:rPr>
              <w:t>)</w:t>
            </w:r>
          </w:p>
        </w:tc>
      </w:tr>
      <w:tr w:rsidR="00DF6843" w:rsidTr="00C21B4C">
        <w:trPr>
          <w:cantSplit/>
          <w:trHeight w:val="635"/>
        </w:trPr>
        <w:tc>
          <w:tcPr>
            <w:tcW w:w="3888" w:type="dxa"/>
          </w:tcPr>
          <w:p w:rsidR="00DF6843" w:rsidRDefault="00DF6843">
            <w:pPr>
              <w:jc w:val="both"/>
              <w:rPr>
                <w:rFonts w:ascii="Arial" w:hAnsi="Arial"/>
                <w:sz w:val="20"/>
              </w:rPr>
            </w:pPr>
            <w:r>
              <w:rPr>
                <w:rFonts w:ascii="Arial" w:hAnsi="Arial"/>
                <w:sz w:val="20"/>
              </w:rPr>
              <w:t>Interest Income</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rsidP="00C21B4C">
            <w:pPr>
              <w:rPr>
                <w:rFonts w:ascii="Arial" w:hAnsi="Arial"/>
                <w:sz w:val="20"/>
              </w:rPr>
            </w:pPr>
          </w:p>
        </w:tc>
        <w:tc>
          <w:tcPr>
            <w:tcW w:w="1620" w:type="dxa"/>
            <w:tcBorders>
              <w:bottom w:val="single" w:sz="4" w:space="0" w:color="auto"/>
            </w:tcBorders>
          </w:tcPr>
          <w:p w:rsidR="00DF6843" w:rsidRDefault="00C21B4C" w:rsidP="00C21B4C">
            <w:pPr>
              <w:jc w:val="center"/>
              <w:rPr>
                <w:rFonts w:ascii="Arial" w:hAnsi="Arial"/>
                <w:sz w:val="20"/>
              </w:rPr>
            </w:pPr>
            <w:r>
              <w:rPr>
                <w:rFonts w:ascii="Arial" w:hAnsi="Arial"/>
                <w:sz w:val="20"/>
              </w:rPr>
              <w:t xml:space="preserve">             </w:t>
            </w:r>
            <w:r w:rsidR="008F0206">
              <w:rPr>
                <w:rFonts w:ascii="Arial" w:hAnsi="Arial"/>
                <w:sz w:val="20"/>
              </w:rPr>
              <w:t xml:space="preserve">    </w:t>
            </w:r>
            <w:r>
              <w:rPr>
                <w:rFonts w:ascii="Arial" w:hAnsi="Arial"/>
                <w:sz w:val="20"/>
              </w:rPr>
              <w:t xml:space="preserve">  </w:t>
            </w:r>
            <w:r w:rsidR="00716463">
              <w:rPr>
                <w:rFonts w:ascii="Arial" w:hAnsi="Arial"/>
                <w:sz w:val="20"/>
              </w:rPr>
              <w:t>1</w:t>
            </w:r>
            <w:r w:rsidR="00FF1A35">
              <w:rPr>
                <w:rFonts w:ascii="Arial" w:hAnsi="Arial"/>
                <w:sz w:val="20"/>
              </w:rPr>
              <w:t>32</w:t>
            </w:r>
          </w:p>
        </w:tc>
      </w:tr>
      <w:tr w:rsidR="00DF6843">
        <w:trPr>
          <w:cantSplit/>
        </w:trPr>
        <w:tc>
          <w:tcPr>
            <w:tcW w:w="3888" w:type="dxa"/>
          </w:tcPr>
          <w:p w:rsidR="00DF6843" w:rsidRPr="008F0206" w:rsidRDefault="008F0206" w:rsidP="008F0206">
            <w:pPr>
              <w:jc w:val="both"/>
              <w:rPr>
                <w:rFonts w:ascii="Arial" w:hAnsi="Arial"/>
                <w:sz w:val="20"/>
              </w:rPr>
            </w:pPr>
            <w:r>
              <w:rPr>
                <w:rFonts w:ascii="Arial" w:hAnsi="Arial"/>
                <w:sz w:val="20"/>
              </w:rPr>
              <w:t>P</w:t>
            </w:r>
            <w:r w:rsidR="00DF6843" w:rsidRPr="008F0206">
              <w:rPr>
                <w:rFonts w:ascii="Arial" w:hAnsi="Arial"/>
                <w:sz w:val="20"/>
              </w:rPr>
              <w:t>rofit before tax</w:t>
            </w:r>
          </w:p>
        </w:tc>
        <w:tc>
          <w:tcPr>
            <w:tcW w:w="1620" w:type="dxa"/>
          </w:tcPr>
          <w:p w:rsidR="00DF6843" w:rsidRDefault="00DF6843" w:rsidP="008F0206">
            <w:pP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rsidP="00C21B4C">
            <w:pPr>
              <w:rPr>
                <w:rFonts w:ascii="Arial" w:hAnsi="Arial"/>
                <w:sz w:val="20"/>
              </w:rPr>
            </w:pPr>
          </w:p>
        </w:tc>
        <w:tc>
          <w:tcPr>
            <w:tcW w:w="1620" w:type="dxa"/>
            <w:tcBorders>
              <w:top w:val="single" w:sz="4" w:space="0" w:color="auto"/>
            </w:tcBorders>
          </w:tcPr>
          <w:p w:rsidR="00DF6843" w:rsidRDefault="008F0206" w:rsidP="008F0206">
            <w:pPr>
              <w:jc w:val="center"/>
              <w:rPr>
                <w:rFonts w:ascii="Arial" w:hAnsi="Arial"/>
                <w:b/>
                <w:sz w:val="20"/>
              </w:rPr>
            </w:pPr>
            <w:r>
              <w:rPr>
                <w:rFonts w:ascii="Arial" w:hAnsi="Arial"/>
                <w:b/>
                <w:sz w:val="20"/>
              </w:rPr>
              <w:t xml:space="preserve">              </w:t>
            </w:r>
            <w:r w:rsidR="00FF1A35">
              <w:rPr>
                <w:rFonts w:ascii="Arial" w:hAnsi="Arial"/>
                <w:b/>
                <w:sz w:val="20"/>
              </w:rPr>
              <w:t>12,253</w:t>
            </w:r>
          </w:p>
        </w:tc>
      </w:tr>
      <w:tr w:rsidR="00DF6843">
        <w:trPr>
          <w:cantSplit/>
        </w:trPr>
        <w:tc>
          <w:tcPr>
            <w:tcW w:w="3888" w:type="dxa"/>
          </w:tcPr>
          <w:p w:rsidR="00DF6843" w:rsidRDefault="00DF6843">
            <w:pPr>
              <w:jc w:val="both"/>
              <w:rPr>
                <w:rFonts w:ascii="Arial" w:hAnsi="Arial"/>
                <w:sz w:val="20"/>
              </w:rPr>
            </w:pPr>
            <w:r>
              <w:rPr>
                <w:rFonts w:ascii="Arial" w:hAnsi="Arial"/>
                <w:sz w:val="20"/>
              </w:rPr>
              <w:t>Income tax</w:t>
            </w:r>
          </w:p>
        </w:tc>
        <w:tc>
          <w:tcPr>
            <w:tcW w:w="1620" w:type="dxa"/>
          </w:tcPr>
          <w:p w:rsidR="00DF6843" w:rsidRDefault="00DF6843">
            <w:pPr>
              <w:jc w:val="center"/>
              <w:rPr>
                <w:rFonts w:ascii="Arial" w:hAnsi="Arial"/>
                <w:sz w:val="20"/>
              </w:rPr>
            </w:pPr>
          </w:p>
        </w:tc>
        <w:tc>
          <w:tcPr>
            <w:tcW w:w="1260" w:type="dxa"/>
          </w:tcPr>
          <w:p w:rsidR="00DF6843" w:rsidRDefault="00C21B4C">
            <w:pPr>
              <w:jc w:val="center"/>
              <w:rPr>
                <w:rFonts w:ascii="Arial" w:hAnsi="Arial"/>
                <w:sz w:val="20"/>
              </w:rPr>
            </w:pPr>
            <w:r>
              <w:rPr>
                <w:rFonts w:ascii="Arial" w:hAnsi="Arial"/>
                <w:sz w:val="20"/>
              </w:rPr>
              <w:t xml:space="preserve">              </w:t>
            </w:r>
          </w:p>
        </w:tc>
        <w:tc>
          <w:tcPr>
            <w:tcW w:w="1080" w:type="dxa"/>
          </w:tcPr>
          <w:p w:rsidR="00DF6843" w:rsidRDefault="00DF6843">
            <w:pPr>
              <w:jc w:val="center"/>
              <w:rPr>
                <w:rFonts w:ascii="Arial" w:hAnsi="Arial"/>
                <w:sz w:val="20"/>
              </w:rPr>
            </w:pPr>
          </w:p>
        </w:tc>
        <w:tc>
          <w:tcPr>
            <w:tcW w:w="1620" w:type="dxa"/>
          </w:tcPr>
          <w:p w:rsidR="00DF6843" w:rsidRDefault="00FF1A35">
            <w:pPr>
              <w:jc w:val="right"/>
              <w:rPr>
                <w:rFonts w:ascii="Arial" w:hAnsi="Arial"/>
                <w:sz w:val="20"/>
              </w:rPr>
            </w:pPr>
            <w:r>
              <w:rPr>
                <w:rFonts w:ascii="Arial" w:hAnsi="Arial"/>
                <w:sz w:val="20"/>
              </w:rPr>
              <w:t xml:space="preserve">  (3,168</w:t>
            </w:r>
            <w:r w:rsidR="002E7823">
              <w:rPr>
                <w:rFonts w:ascii="Arial" w:hAnsi="Arial"/>
                <w:sz w:val="20"/>
              </w:rPr>
              <w:t>)</w:t>
            </w:r>
          </w:p>
        </w:tc>
      </w:tr>
      <w:tr w:rsidR="00DF6843">
        <w:trPr>
          <w:cantSplit/>
        </w:trPr>
        <w:tc>
          <w:tcPr>
            <w:tcW w:w="3888" w:type="dxa"/>
          </w:tcPr>
          <w:p w:rsidR="00DF6843" w:rsidRDefault="00C21B4C">
            <w:pPr>
              <w:jc w:val="both"/>
              <w:rPr>
                <w:rFonts w:ascii="Arial" w:hAnsi="Arial"/>
                <w:sz w:val="20"/>
              </w:rPr>
            </w:pPr>
            <w:r>
              <w:rPr>
                <w:rFonts w:ascii="Arial" w:hAnsi="Arial"/>
                <w:sz w:val="20"/>
              </w:rPr>
              <w:t xml:space="preserve"> </w:t>
            </w:r>
            <w:r w:rsidR="00DF6843">
              <w:rPr>
                <w:rFonts w:ascii="Arial" w:hAnsi="Arial"/>
                <w:sz w:val="20"/>
              </w:rPr>
              <w:t>Profit after tax</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Borders>
              <w:top w:val="single" w:sz="4" w:space="0" w:color="auto"/>
              <w:bottom w:val="double" w:sz="4" w:space="0" w:color="auto"/>
            </w:tcBorders>
          </w:tcPr>
          <w:p w:rsidR="00E77EA3" w:rsidRDefault="008F0206" w:rsidP="008F0206">
            <w:pPr>
              <w:jc w:val="center"/>
              <w:rPr>
                <w:rFonts w:ascii="Arial" w:hAnsi="Arial"/>
                <w:b/>
                <w:sz w:val="20"/>
              </w:rPr>
            </w:pPr>
            <w:r>
              <w:rPr>
                <w:rFonts w:ascii="Arial" w:hAnsi="Arial"/>
                <w:b/>
                <w:sz w:val="20"/>
              </w:rPr>
              <w:t xml:space="preserve">              </w:t>
            </w:r>
            <w:r w:rsidR="00FF1A35">
              <w:rPr>
                <w:rFonts w:ascii="Arial" w:hAnsi="Arial"/>
                <w:b/>
                <w:sz w:val="20"/>
              </w:rPr>
              <w:t>9,085</w:t>
            </w:r>
          </w:p>
        </w:tc>
      </w:tr>
    </w:tbl>
    <w:p w:rsidR="00DF6843" w:rsidRDefault="00DF6843">
      <w:pPr>
        <w:pStyle w:val="BodyTextIndent"/>
      </w:pPr>
    </w:p>
    <w:p w:rsidR="00E87825" w:rsidRDefault="00E87825">
      <w:pPr>
        <w:pStyle w:val="BodyTextIndent"/>
      </w:pPr>
    </w:p>
    <w:p w:rsidR="00DF6843" w:rsidRDefault="00DF6843">
      <w:pPr>
        <w:pStyle w:val="BodyTextIndent"/>
      </w:pPr>
      <w:r>
        <w:t xml:space="preserve">The activities of the Group are carried out in </w:t>
      </w:r>
      <w:smartTag w:uri="urn:schemas-microsoft-com:office:smarttags" w:element="country-region">
        <w:smartTag w:uri="urn:schemas-microsoft-com:office:smarttags" w:element="place">
          <w:r>
            <w:t>Malaysia</w:t>
          </w:r>
        </w:smartTag>
      </w:smartTag>
      <w:r>
        <w:t xml:space="preserve"> and as such segmental reporting by geographical location is not presented.</w:t>
      </w:r>
    </w:p>
    <w:p w:rsidR="002E7823" w:rsidRDefault="002E7823">
      <w:pPr>
        <w:pStyle w:val="BodyTextIndent"/>
      </w:pPr>
    </w:p>
    <w:p w:rsidR="00DF6843" w:rsidRPr="000F7B05" w:rsidRDefault="00DF6843" w:rsidP="000F7B05">
      <w:pPr>
        <w:pStyle w:val="BodyTextIndent"/>
        <w:ind w:left="0"/>
        <w:rPr>
          <w:b/>
        </w:rPr>
      </w:pPr>
    </w:p>
    <w:p w:rsidR="002E7823" w:rsidRDefault="002E7823">
      <w:pPr>
        <w:ind w:left="360"/>
        <w:jc w:val="both"/>
        <w:rPr>
          <w:rFonts w:ascii="Arial" w:hAnsi="Arial"/>
          <w:sz w:val="20"/>
        </w:rPr>
      </w:pPr>
    </w:p>
    <w:p w:rsidR="002E7823" w:rsidRPr="002E7823" w:rsidRDefault="00DF6843" w:rsidP="00FE1989">
      <w:pPr>
        <w:numPr>
          <w:ilvl w:val="0"/>
          <w:numId w:val="1"/>
        </w:numPr>
        <w:tabs>
          <w:tab w:val="clear" w:pos="720"/>
          <w:tab w:val="num" w:pos="360"/>
        </w:tabs>
        <w:ind w:left="360"/>
        <w:jc w:val="both"/>
        <w:rPr>
          <w:rFonts w:ascii="Arial" w:hAnsi="Arial"/>
          <w:sz w:val="20"/>
          <w:u w:val="single"/>
        </w:rPr>
      </w:pPr>
      <w:r>
        <w:rPr>
          <w:rFonts w:ascii="Arial" w:hAnsi="Arial"/>
          <w:sz w:val="20"/>
          <w:u w:val="single"/>
        </w:rPr>
        <w:t>Property, plant and equipment</w:t>
      </w:r>
    </w:p>
    <w:p w:rsidR="002E7823" w:rsidRDefault="002E7823">
      <w:pPr>
        <w:ind w:left="360"/>
        <w:jc w:val="both"/>
        <w:rPr>
          <w:rFonts w:ascii="Arial" w:hAnsi="Arial"/>
          <w:sz w:val="20"/>
        </w:rPr>
      </w:pPr>
    </w:p>
    <w:p w:rsidR="005A5A9F" w:rsidRDefault="00DF6843">
      <w:pPr>
        <w:ind w:left="360"/>
        <w:jc w:val="both"/>
        <w:rPr>
          <w:rFonts w:ascii="Arial" w:hAnsi="Arial"/>
          <w:sz w:val="20"/>
        </w:rPr>
      </w:pPr>
      <w:r>
        <w:rPr>
          <w:rFonts w:ascii="Arial" w:hAnsi="Arial"/>
          <w:sz w:val="20"/>
        </w:rPr>
        <w:t>The valuation of land and buildings has been brought forward, without amendment from the recent audited financial statements for</w:t>
      </w:r>
      <w:r w:rsidR="000F7B05">
        <w:rPr>
          <w:rFonts w:ascii="Arial" w:hAnsi="Arial"/>
          <w:sz w:val="20"/>
        </w:rPr>
        <w:t xml:space="preserve"> the year ended 31 December 2012</w:t>
      </w:r>
      <w:r w:rsidR="00D95E3C">
        <w:rPr>
          <w:rFonts w:ascii="Arial" w:hAnsi="Arial"/>
          <w:sz w:val="20"/>
        </w:rPr>
        <w:t>.</w:t>
      </w:r>
    </w:p>
    <w:p w:rsidR="00DF6843" w:rsidRDefault="00DF6843" w:rsidP="00FE1989">
      <w:pPr>
        <w:ind w:left="360"/>
        <w:jc w:val="both"/>
        <w:rPr>
          <w:rFonts w:ascii="Arial" w:hAnsi="Arial"/>
          <w:sz w:val="20"/>
        </w:rPr>
      </w:pPr>
      <w:r>
        <w:rPr>
          <w:rFonts w:ascii="Arial" w:hAnsi="Arial"/>
          <w:sz w:val="20"/>
        </w:rPr>
        <w:t xml:space="preserve"> </w:t>
      </w: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Material events subsequent to the balance sheet date</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are no other material events subsequent to the balance sheet date that has not been reflected in the financial statements.</w:t>
      </w:r>
    </w:p>
    <w:p w:rsidR="00DF6843" w:rsidRDefault="00DF6843">
      <w:pPr>
        <w:jc w:val="both"/>
        <w:rPr>
          <w:rFonts w:ascii="Arial" w:hAnsi="Arial"/>
          <w:sz w:val="20"/>
        </w:rPr>
      </w:pPr>
      <w:r>
        <w:rPr>
          <w:rFonts w:ascii="Arial" w:hAnsi="Arial"/>
          <w:sz w:val="20"/>
        </w:rPr>
        <w:t xml:space="preserve"> </w:t>
      </w: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composition of the Group</w:t>
      </w:r>
    </w:p>
    <w:p w:rsidR="00DF6843" w:rsidRDefault="00DF6843">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t>There was no change in the composition of the Group during the financial period.</w:t>
      </w:r>
    </w:p>
    <w:p w:rsidR="00DF6843" w:rsidRDefault="00DF6843">
      <w:pPr>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contingent liabilities</w:t>
      </w:r>
    </w:p>
    <w:p w:rsidR="00DF6843" w:rsidRDefault="00DF6843">
      <w:pPr>
        <w:jc w:val="both"/>
        <w:rPr>
          <w:rFonts w:ascii="Arial" w:hAnsi="Arial"/>
          <w:sz w:val="20"/>
          <w:u w:val="single"/>
        </w:rPr>
      </w:pPr>
    </w:p>
    <w:p w:rsidR="00FE1989" w:rsidRDefault="00DF6843" w:rsidP="00491861">
      <w:pPr>
        <w:pStyle w:val="BodyTextIndent"/>
      </w:pPr>
      <w:r>
        <w:t xml:space="preserve">Corporate guarantees issued to financial institutions and suppliers for banking and credit facilities respectively granted to subsidiary Companies </w:t>
      </w:r>
      <w:r w:rsidR="00FE1989">
        <w:t>amounted to RM</w:t>
      </w:r>
      <w:r w:rsidR="000F7B05">
        <w:t xml:space="preserve"> 133.6</w:t>
      </w:r>
      <w:r w:rsidR="00716463">
        <w:t xml:space="preserve"> million (2012: RM 133.6</w:t>
      </w:r>
      <w:r>
        <w:t xml:space="preserve"> million)</w:t>
      </w:r>
    </w:p>
    <w:p w:rsidR="008F0206" w:rsidRDefault="008F0206" w:rsidP="000444A9">
      <w:pPr>
        <w:jc w:val="both"/>
        <w:rPr>
          <w:rFonts w:ascii="Arial" w:hAnsi="Arial"/>
          <w:sz w:val="20"/>
        </w:rPr>
      </w:pPr>
    </w:p>
    <w:p w:rsidR="008F0206" w:rsidRDefault="008F0206" w:rsidP="000444A9">
      <w:pPr>
        <w:jc w:val="both"/>
        <w:rPr>
          <w:rFonts w:ascii="Arial" w:hAnsi="Arial"/>
          <w:sz w:val="20"/>
        </w:rPr>
      </w:pPr>
    </w:p>
    <w:p w:rsidR="00D95E3C" w:rsidRDefault="00D95E3C" w:rsidP="000444A9">
      <w:pPr>
        <w:jc w:val="both"/>
        <w:rPr>
          <w:rFonts w:ascii="Arial" w:hAnsi="Arial"/>
          <w:sz w:val="20"/>
        </w:rPr>
      </w:pPr>
    </w:p>
    <w:p w:rsidR="00DF6843" w:rsidRDefault="00DF6843">
      <w:pPr>
        <w:jc w:val="both"/>
        <w:rPr>
          <w:rFonts w:ascii="Arial" w:hAnsi="Arial"/>
          <w:b/>
          <w:sz w:val="20"/>
        </w:rPr>
      </w:pPr>
      <w:r>
        <w:rPr>
          <w:rFonts w:ascii="Arial" w:hAnsi="Arial"/>
          <w:b/>
          <w:sz w:val="20"/>
        </w:rPr>
        <w:t>Additional information required by the Ma</w:t>
      </w:r>
      <w:r w:rsidR="00491861">
        <w:rPr>
          <w:rFonts w:ascii="Arial" w:hAnsi="Arial"/>
          <w:b/>
          <w:sz w:val="20"/>
        </w:rPr>
        <w:t>in Market’s Listing Requirement</w:t>
      </w:r>
    </w:p>
    <w:p w:rsidR="00DF6843" w:rsidRDefault="00DF6843">
      <w:pP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Review of performance</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w:t>
      </w:r>
      <w:r w:rsidR="007B4B69">
        <w:rPr>
          <w:rFonts w:ascii="Arial" w:hAnsi="Arial"/>
          <w:sz w:val="20"/>
        </w:rPr>
        <w:t xml:space="preserve">e </w:t>
      </w:r>
      <w:r w:rsidR="00B93562">
        <w:rPr>
          <w:rFonts w:ascii="Arial" w:hAnsi="Arial"/>
          <w:sz w:val="20"/>
        </w:rPr>
        <w:t>G</w:t>
      </w:r>
      <w:r w:rsidR="00B62EFF">
        <w:rPr>
          <w:rFonts w:ascii="Arial" w:hAnsi="Arial"/>
          <w:sz w:val="20"/>
        </w:rPr>
        <w:t xml:space="preserve">roup recorded </w:t>
      </w:r>
      <w:r w:rsidR="00FE1989">
        <w:rPr>
          <w:rFonts w:ascii="Arial" w:hAnsi="Arial"/>
          <w:sz w:val="20"/>
        </w:rPr>
        <w:t>revenue of RM</w:t>
      </w:r>
      <w:r w:rsidR="00017BC3">
        <w:rPr>
          <w:rFonts w:ascii="Arial" w:hAnsi="Arial"/>
          <w:sz w:val="20"/>
        </w:rPr>
        <w:t xml:space="preserve"> </w:t>
      </w:r>
      <w:r w:rsidR="00CF24A7">
        <w:rPr>
          <w:rFonts w:ascii="Arial" w:hAnsi="Arial"/>
          <w:sz w:val="20"/>
        </w:rPr>
        <w:t>1</w:t>
      </w:r>
      <w:r w:rsidR="000E6B5F">
        <w:rPr>
          <w:rFonts w:ascii="Arial" w:hAnsi="Arial"/>
          <w:sz w:val="20"/>
        </w:rPr>
        <w:t>21.3</w:t>
      </w:r>
      <w:r w:rsidR="000444A9">
        <w:rPr>
          <w:rFonts w:ascii="Arial" w:hAnsi="Arial"/>
          <w:sz w:val="20"/>
        </w:rPr>
        <w:t xml:space="preserve"> million for the</w:t>
      </w:r>
      <w:r w:rsidR="000E6B5F">
        <w:rPr>
          <w:rFonts w:ascii="Arial" w:hAnsi="Arial"/>
          <w:sz w:val="20"/>
        </w:rPr>
        <w:t xml:space="preserve"> 3rd</w:t>
      </w:r>
      <w:r w:rsidR="00EE5541">
        <w:rPr>
          <w:rFonts w:ascii="Arial" w:hAnsi="Arial"/>
          <w:sz w:val="20"/>
        </w:rPr>
        <w:t xml:space="preserve"> </w:t>
      </w:r>
      <w:r w:rsidR="000A0C75">
        <w:rPr>
          <w:rFonts w:ascii="Arial" w:hAnsi="Arial"/>
          <w:sz w:val="20"/>
        </w:rPr>
        <w:t xml:space="preserve"> quarter</w:t>
      </w:r>
      <w:r w:rsidR="000444A9">
        <w:rPr>
          <w:rFonts w:ascii="Arial" w:hAnsi="Arial"/>
          <w:sz w:val="20"/>
        </w:rPr>
        <w:t xml:space="preserve"> </w:t>
      </w:r>
      <w:r w:rsidR="000E6B5F">
        <w:rPr>
          <w:rFonts w:ascii="Arial" w:hAnsi="Arial"/>
          <w:sz w:val="20"/>
        </w:rPr>
        <w:t>period to 30 Sept</w:t>
      </w:r>
      <w:r w:rsidR="00FE1989">
        <w:rPr>
          <w:rFonts w:ascii="Arial" w:hAnsi="Arial"/>
          <w:sz w:val="20"/>
        </w:rPr>
        <w:t xml:space="preserve"> </w:t>
      </w:r>
      <w:r w:rsidR="000F7B05">
        <w:rPr>
          <w:rFonts w:ascii="Arial" w:hAnsi="Arial"/>
          <w:sz w:val="20"/>
        </w:rPr>
        <w:t>2013</w:t>
      </w:r>
      <w:r w:rsidR="00B93562">
        <w:rPr>
          <w:rFonts w:ascii="Arial" w:hAnsi="Arial"/>
          <w:sz w:val="20"/>
        </w:rPr>
        <w:t xml:space="preserve"> as compared with RM</w:t>
      </w:r>
      <w:r w:rsidR="000E6B5F">
        <w:rPr>
          <w:rFonts w:ascii="Arial" w:hAnsi="Arial"/>
          <w:sz w:val="20"/>
        </w:rPr>
        <w:t xml:space="preserve"> 133.4</w:t>
      </w:r>
      <w:r>
        <w:rPr>
          <w:rFonts w:ascii="Arial" w:hAnsi="Arial"/>
          <w:sz w:val="20"/>
        </w:rPr>
        <w:t xml:space="preserve"> million recorded in the prec</w:t>
      </w:r>
      <w:r w:rsidR="00800D66">
        <w:rPr>
          <w:rFonts w:ascii="Arial" w:hAnsi="Arial"/>
          <w:sz w:val="20"/>
        </w:rPr>
        <w:t>eding  year</w:t>
      </w:r>
      <w:r w:rsidR="00017BC3" w:rsidRPr="00017BC3">
        <w:rPr>
          <w:rFonts w:ascii="Arial" w:hAnsi="Arial"/>
          <w:sz w:val="20"/>
        </w:rPr>
        <w:t xml:space="preserve"> </w:t>
      </w:r>
      <w:r w:rsidR="00CF24A7">
        <w:rPr>
          <w:rFonts w:ascii="Arial" w:hAnsi="Arial"/>
          <w:sz w:val="20"/>
        </w:rPr>
        <w:t xml:space="preserve">corresponding </w:t>
      </w:r>
      <w:r w:rsidR="000A0C75">
        <w:rPr>
          <w:rFonts w:ascii="Arial" w:hAnsi="Arial"/>
          <w:sz w:val="20"/>
        </w:rPr>
        <w:t>quarter</w:t>
      </w:r>
      <w:r w:rsidR="00017BC3">
        <w:rPr>
          <w:rFonts w:ascii="Arial" w:hAnsi="Arial"/>
          <w:sz w:val="20"/>
        </w:rPr>
        <w:t xml:space="preserve"> period</w:t>
      </w:r>
      <w:r>
        <w:rPr>
          <w:rFonts w:ascii="Arial" w:hAnsi="Arial"/>
          <w:sz w:val="20"/>
        </w:rPr>
        <w:t>.</w:t>
      </w:r>
    </w:p>
    <w:p w:rsidR="00DF6843" w:rsidRDefault="00DF6843">
      <w:pPr>
        <w:ind w:left="360"/>
        <w:jc w:val="both"/>
        <w:rPr>
          <w:rFonts w:ascii="Arial" w:hAnsi="Arial"/>
          <w:sz w:val="20"/>
        </w:rPr>
      </w:pPr>
    </w:p>
    <w:p w:rsidR="00AE050A" w:rsidRDefault="00DF6843" w:rsidP="009627EB">
      <w:pPr>
        <w:ind w:left="360"/>
        <w:jc w:val="both"/>
        <w:rPr>
          <w:rFonts w:ascii="Arial" w:hAnsi="Arial"/>
          <w:sz w:val="20"/>
        </w:rPr>
      </w:pPr>
      <w:r>
        <w:rPr>
          <w:rFonts w:ascii="Arial" w:hAnsi="Arial"/>
          <w:sz w:val="20"/>
        </w:rPr>
        <w:t xml:space="preserve">Paper milling division </w:t>
      </w:r>
      <w:r w:rsidR="00FE1989">
        <w:rPr>
          <w:rFonts w:ascii="Arial" w:hAnsi="Arial"/>
          <w:sz w:val="20"/>
        </w:rPr>
        <w:t>turnover was RM</w:t>
      </w:r>
      <w:r w:rsidR="00041F70">
        <w:rPr>
          <w:rFonts w:ascii="Arial" w:hAnsi="Arial"/>
          <w:sz w:val="20"/>
        </w:rPr>
        <w:t xml:space="preserve"> 0</w:t>
      </w:r>
      <w:r w:rsidR="00247265">
        <w:rPr>
          <w:rFonts w:ascii="Arial" w:hAnsi="Arial"/>
          <w:sz w:val="20"/>
        </w:rPr>
        <w:t xml:space="preserve"> </w:t>
      </w:r>
      <w:r w:rsidR="008C3490">
        <w:rPr>
          <w:rFonts w:ascii="Arial" w:hAnsi="Arial"/>
          <w:sz w:val="20"/>
        </w:rPr>
        <w:t>.24</w:t>
      </w:r>
      <w:r w:rsidR="008349E2">
        <w:rPr>
          <w:rFonts w:ascii="Arial" w:hAnsi="Arial"/>
          <w:sz w:val="20"/>
        </w:rPr>
        <w:t xml:space="preserve"> million higher</w:t>
      </w:r>
      <w:r w:rsidR="003A322B">
        <w:rPr>
          <w:rFonts w:ascii="Arial" w:hAnsi="Arial"/>
          <w:sz w:val="20"/>
        </w:rPr>
        <w:t xml:space="preserve"> than previous</w:t>
      </w:r>
      <w:r w:rsidR="00866DD3">
        <w:rPr>
          <w:rFonts w:ascii="Arial" w:hAnsi="Arial"/>
          <w:sz w:val="20"/>
        </w:rPr>
        <w:t xml:space="preserve"> </w:t>
      </w:r>
      <w:proofErr w:type="gramStart"/>
      <w:r w:rsidR="00866DD3">
        <w:rPr>
          <w:rFonts w:ascii="Arial" w:hAnsi="Arial"/>
          <w:sz w:val="20"/>
        </w:rPr>
        <w:t>year</w:t>
      </w:r>
      <w:r w:rsidR="003A322B">
        <w:rPr>
          <w:rFonts w:ascii="Arial" w:hAnsi="Arial"/>
          <w:sz w:val="20"/>
        </w:rPr>
        <w:t xml:space="preserve">  corresponding</w:t>
      </w:r>
      <w:proofErr w:type="gramEnd"/>
      <w:r w:rsidR="00866DD3">
        <w:rPr>
          <w:rFonts w:ascii="Arial" w:hAnsi="Arial"/>
          <w:sz w:val="20"/>
        </w:rPr>
        <w:t xml:space="preserve"> quarter period</w:t>
      </w:r>
      <w:r>
        <w:rPr>
          <w:rFonts w:ascii="Arial" w:hAnsi="Arial"/>
          <w:sz w:val="20"/>
        </w:rPr>
        <w:t>, paper conver</w:t>
      </w:r>
      <w:r w:rsidR="00E2161C">
        <w:rPr>
          <w:rFonts w:ascii="Arial" w:hAnsi="Arial"/>
          <w:sz w:val="20"/>
        </w:rPr>
        <w:t xml:space="preserve">ting division turnover </w:t>
      </w:r>
      <w:r w:rsidR="00EE5541">
        <w:rPr>
          <w:rFonts w:ascii="Arial" w:hAnsi="Arial"/>
          <w:sz w:val="20"/>
        </w:rPr>
        <w:t>was higher</w:t>
      </w:r>
      <w:r w:rsidR="00FE1989">
        <w:rPr>
          <w:rFonts w:ascii="Arial" w:hAnsi="Arial"/>
          <w:sz w:val="20"/>
        </w:rPr>
        <w:t xml:space="preserve"> by RM</w:t>
      </w:r>
      <w:r w:rsidR="008C3490">
        <w:rPr>
          <w:rFonts w:ascii="Arial" w:hAnsi="Arial"/>
          <w:sz w:val="20"/>
        </w:rPr>
        <w:t xml:space="preserve"> 8</w:t>
      </w:r>
      <w:r w:rsidR="00041F70">
        <w:rPr>
          <w:rFonts w:ascii="Arial" w:hAnsi="Arial"/>
          <w:sz w:val="20"/>
        </w:rPr>
        <w:t>.1</w:t>
      </w:r>
      <w:r w:rsidR="00CC5086">
        <w:rPr>
          <w:rFonts w:ascii="Arial" w:hAnsi="Arial"/>
          <w:sz w:val="20"/>
        </w:rPr>
        <w:t xml:space="preserve"> million compared</w:t>
      </w:r>
      <w:r w:rsidR="00E2161C">
        <w:rPr>
          <w:rFonts w:ascii="Arial" w:hAnsi="Arial"/>
          <w:sz w:val="20"/>
        </w:rPr>
        <w:t xml:space="preserve"> with the </w:t>
      </w:r>
      <w:r>
        <w:rPr>
          <w:rFonts w:ascii="Arial" w:hAnsi="Arial"/>
          <w:sz w:val="20"/>
        </w:rPr>
        <w:t>prev</w:t>
      </w:r>
      <w:r w:rsidR="00FE1989">
        <w:rPr>
          <w:rFonts w:ascii="Arial" w:hAnsi="Arial"/>
          <w:sz w:val="20"/>
        </w:rPr>
        <w:t xml:space="preserve">ious year </w:t>
      </w:r>
      <w:r w:rsidR="00866DD3">
        <w:rPr>
          <w:rFonts w:ascii="Arial" w:hAnsi="Arial"/>
          <w:sz w:val="20"/>
        </w:rPr>
        <w:t>quarter</w:t>
      </w:r>
      <w:r w:rsidR="00E73994">
        <w:rPr>
          <w:rFonts w:ascii="Arial" w:hAnsi="Arial"/>
          <w:sz w:val="20"/>
        </w:rPr>
        <w:t xml:space="preserve"> </w:t>
      </w:r>
      <w:r>
        <w:rPr>
          <w:rFonts w:ascii="Arial" w:hAnsi="Arial"/>
          <w:sz w:val="20"/>
        </w:rPr>
        <w:t>, building materia</w:t>
      </w:r>
      <w:r w:rsidR="002F7D68">
        <w:rPr>
          <w:rFonts w:ascii="Arial" w:hAnsi="Arial"/>
          <w:sz w:val="20"/>
        </w:rPr>
        <w:t xml:space="preserve">ls division recorded a </w:t>
      </w:r>
      <w:r w:rsidR="008C3490">
        <w:rPr>
          <w:rFonts w:ascii="Arial" w:hAnsi="Arial"/>
          <w:sz w:val="20"/>
        </w:rPr>
        <w:t>lower</w:t>
      </w:r>
      <w:r>
        <w:rPr>
          <w:rFonts w:ascii="Arial" w:hAnsi="Arial"/>
          <w:sz w:val="20"/>
        </w:rPr>
        <w:t xml:space="preserve"> turnover of</w:t>
      </w:r>
      <w:r w:rsidR="00FE1989">
        <w:rPr>
          <w:rFonts w:ascii="Arial" w:hAnsi="Arial"/>
          <w:sz w:val="20"/>
        </w:rPr>
        <w:t xml:space="preserve"> RM</w:t>
      </w:r>
      <w:r w:rsidR="002F290C">
        <w:rPr>
          <w:rFonts w:ascii="Arial" w:hAnsi="Arial"/>
          <w:sz w:val="20"/>
        </w:rPr>
        <w:t xml:space="preserve"> </w:t>
      </w:r>
      <w:r w:rsidR="008C3490">
        <w:rPr>
          <w:rFonts w:ascii="Arial" w:hAnsi="Arial"/>
          <w:sz w:val="20"/>
        </w:rPr>
        <w:t>20.1</w:t>
      </w:r>
      <w:r w:rsidR="002F7D68">
        <w:rPr>
          <w:rFonts w:ascii="Arial" w:hAnsi="Arial"/>
          <w:sz w:val="20"/>
        </w:rPr>
        <w:t xml:space="preserve"> </w:t>
      </w:r>
      <w:r w:rsidR="00CC5086">
        <w:rPr>
          <w:rFonts w:ascii="Arial" w:hAnsi="Arial"/>
          <w:sz w:val="20"/>
        </w:rPr>
        <w:t>million compared with the</w:t>
      </w:r>
      <w:r w:rsidR="006C18B1">
        <w:rPr>
          <w:rFonts w:ascii="Arial" w:hAnsi="Arial"/>
          <w:sz w:val="20"/>
        </w:rPr>
        <w:t xml:space="preserve"> prec</w:t>
      </w:r>
      <w:r w:rsidR="002F7D68">
        <w:rPr>
          <w:rFonts w:ascii="Arial" w:hAnsi="Arial"/>
          <w:sz w:val="20"/>
        </w:rPr>
        <w:t xml:space="preserve">eding </w:t>
      </w:r>
      <w:r w:rsidR="00FE1989">
        <w:rPr>
          <w:rFonts w:ascii="Arial" w:hAnsi="Arial"/>
          <w:sz w:val="20"/>
        </w:rPr>
        <w:t>year</w:t>
      </w:r>
      <w:r w:rsidR="00AE050A">
        <w:rPr>
          <w:rFonts w:ascii="Arial" w:hAnsi="Arial"/>
          <w:sz w:val="20"/>
        </w:rPr>
        <w:t xml:space="preserve"> </w:t>
      </w:r>
      <w:r w:rsidR="00136D1F">
        <w:rPr>
          <w:rFonts w:ascii="Arial" w:hAnsi="Arial"/>
          <w:sz w:val="20"/>
        </w:rPr>
        <w:t>quarter period</w:t>
      </w:r>
      <w:r>
        <w:rPr>
          <w:rFonts w:ascii="Arial" w:hAnsi="Arial"/>
          <w:sz w:val="20"/>
        </w:rPr>
        <w:t xml:space="preserve"> and general tra</w:t>
      </w:r>
      <w:r w:rsidR="00CC5086">
        <w:rPr>
          <w:rFonts w:ascii="Arial" w:hAnsi="Arial"/>
          <w:sz w:val="20"/>
        </w:rPr>
        <w:t>din</w:t>
      </w:r>
      <w:r w:rsidR="00E2161C">
        <w:rPr>
          <w:rFonts w:ascii="Arial" w:hAnsi="Arial"/>
          <w:sz w:val="20"/>
        </w:rPr>
        <w:t>g</w:t>
      </w:r>
      <w:r w:rsidR="008C3490">
        <w:rPr>
          <w:rFonts w:ascii="Arial" w:hAnsi="Arial"/>
          <w:sz w:val="20"/>
        </w:rPr>
        <w:t xml:space="preserve"> divisions reported higher</w:t>
      </w:r>
      <w:r w:rsidR="00E2161C">
        <w:rPr>
          <w:rFonts w:ascii="Arial" w:hAnsi="Arial"/>
          <w:sz w:val="20"/>
        </w:rPr>
        <w:t xml:space="preserve"> turnover </w:t>
      </w:r>
      <w:r w:rsidR="006A2BB8">
        <w:rPr>
          <w:rFonts w:ascii="Arial" w:hAnsi="Arial"/>
          <w:sz w:val="20"/>
        </w:rPr>
        <w:t xml:space="preserve"> compared </w:t>
      </w:r>
      <w:r>
        <w:rPr>
          <w:rFonts w:ascii="Arial" w:hAnsi="Arial"/>
          <w:sz w:val="20"/>
        </w:rPr>
        <w:t>wit</w:t>
      </w:r>
      <w:r w:rsidR="00FE1989">
        <w:rPr>
          <w:rFonts w:ascii="Arial" w:hAnsi="Arial"/>
          <w:sz w:val="20"/>
        </w:rPr>
        <w:t>h preceding year</w:t>
      </w:r>
      <w:r w:rsidR="004354DA">
        <w:rPr>
          <w:rFonts w:ascii="Arial" w:hAnsi="Arial"/>
          <w:sz w:val="20"/>
        </w:rPr>
        <w:t xml:space="preserve"> quar</w:t>
      </w:r>
      <w:r w:rsidR="00FE1989">
        <w:rPr>
          <w:rFonts w:ascii="Arial" w:hAnsi="Arial"/>
          <w:sz w:val="20"/>
        </w:rPr>
        <w:t>ter RM</w:t>
      </w:r>
      <w:r w:rsidR="008C3490">
        <w:rPr>
          <w:rFonts w:ascii="Arial" w:hAnsi="Arial"/>
          <w:sz w:val="20"/>
        </w:rPr>
        <w:t xml:space="preserve"> 0.3</w:t>
      </w:r>
      <w:r>
        <w:rPr>
          <w:rFonts w:ascii="Arial" w:hAnsi="Arial"/>
          <w:sz w:val="20"/>
        </w:rPr>
        <w:t xml:space="preserve"> million.</w:t>
      </w:r>
      <w:r w:rsidR="00624686">
        <w:rPr>
          <w:rFonts w:ascii="Arial" w:hAnsi="Arial"/>
          <w:sz w:val="20"/>
        </w:rPr>
        <w:t xml:space="preserve"> </w:t>
      </w:r>
      <w:proofErr w:type="gramStart"/>
      <w:r w:rsidR="00624686">
        <w:rPr>
          <w:rFonts w:ascii="Arial" w:hAnsi="Arial"/>
          <w:sz w:val="20"/>
        </w:rPr>
        <w:t xml:space="preserve">The </w:t>
      </w:r>
      <w:r w:rsidR="00AE4391">
        <w:rPr>
          <w:rFonts w:ascii="Arial" w:hAnsi="Arial"/>
          <w:sz w:val="20"/>
        </w:rPr>
        <w:t xml:space="preserve"> </w:t>
      </w:r>
      <w:r w:rsidR="008C3490">
        <w:rPr>
          <w:rFonts w:ascii="Arial" w:hAnsi="Arial"/>
          <w:sz w:val="20"/>
        </w:rPr>
        <w:t>3rd</w:t>
      </w:r>
      <w:proofErr w:type="gramEnd"/>
      <w:r w:rsidR="00EE5541">
        <w:rPr>
          <w:rFonts w:ascii="Arial" w:hAnsi="Arial"/>
          <w:sz w:val="20"/>
        </w:rPr>
        <w:t xml:space="preserve"> </w:t>
      </w:r>
      <w:r w:rsidR="00CD67BA">
        <w:rPr>
          <w:rFonts w:ascii="Arial" w:hAnsi="Arial"/>
          <w:sz w:val="20"/>
          <w:vertAlign w:val="superscript"/>
        </w:rPr>
        <w:t xml:space="preserve"> </w:t>
      </w:r>
      <w:r w:rsidR="00CD67BA">
        <w:rPr>
          <w:rFonts w:ascii="Arial" w:hAnsi="Arial"/>
          <w:sz w:val="20"/>
        </w:rPr>
        <w:t>quarter</w:t>
      </w:r>
      <w:r w:rsidR="00624686">
        <w:rPr>
          <w:rFonts w:ascii="Arial" w:hAnsi="Arial"/>
          <w:sz w:val="20"/>
        </w:rPr>
        <w:t xml:space="preserve"> revenue </w:t>
      </w:r>
      <w:r w:rsidR="008C3490">
        <w:rPr>
          <w:rFonts w:ascii="Arial" w:hAnsi="Arial"/>
          <w:sz w:val="20"/>
        </w:rPr>
        <w:t>was lower</w:t>
      </w:r>
      <w:r w:rsidR="00CD67BA">
        <w:rPr>
          <w:rFonts w:ascii="Arial" w:hAnsi="Arial"/>
          <w:sz w:val="20"/>
        </w:rPr>
        <w:t xml:space="preserve"> than </w:t>
      </w:r>
      <w:r w:rsidR="00E73994">
        <w:rPr>
          <w:rFonts w:ascii="Arial" w:hAnsi="Arial"/>
          <w:sz w:val="20"/>
        </w:rPr>
        <w:t>previous corresponding year</w:t>
      </w:r>
      <w:r w:rsidR="00B23250">
        <w:rPr>
          <w:rFonts w:ascii="Arial" w:hAnsi="Arial"/>
          <w:sz w:val="20"/>
        </w:rPr>
        <w:t xml:space="preserve"> </w:t>
      </w:r>
      <w:r w:rsidR="00AE4391">
        <w:rPr>
          <w:rFonts w:ascii="Arial" w:hAnsi="Arial"/>
          <w:sz w:val="20"/>
        </w:rPr>
        <w:t>was</w:t>
      </w:r>
      <w:r w:rsidR="008C3490">
        <w:rPr>
          <w:rFonts w:ascii="Arial" w:hAnsi="Arial"/>
          <w:sz w:val="20"/>
        </w:rPr>
        <w:t xml:space="preserve"> generally due to lower</w:t>
      </w:r>
      <w:r w:rsidR="00136D1F">
        <w:rPr>
          <w:rFonts w:ascii="Arial" w:hAnsi="Arial"/>
          <w:sz w:val="20"/>
        </w:rPr>
        <w:t xml:space="preserve"> demand from customers</w:t>
      </w:r>
      <w:r w:rsidR="008C3490">
        <w:rPr>
          <w:rFonts w:ascii="Arial" w:hAnsi="Arial"/>
          <w:sz w:val="20"/>
        </w:rPr>
        <w:t xml:space="preserve"> in the building materials division</w:t>
      </w:r>
      <w:r w:rsidR="006A2BB8">
        <w:rPr>
          <w:rFonts w:ascii="Arial" w:hAnsi="Arial"/>
          <w:sz w:val="20"/>
        </w:rPr>
        <w:t>.</w:t>
      </w:r>
    </w:p>
    <w:p w:rsidR="00DF6843" w:rsidRDefault="00DF6843">
      <w:pPr>
        <w:ind w:left="360"/>
        <w:jc w:val="both"/>
        <w:rPr>
          <w:rFonts w:ascii="Arial" w:hAnsi="Arial"/>
          <w:sz w:val="20"/>
        </w:rPr>
      </w:pPr>
    </w:p>
    <w:p w:rsidR="006A2BB8" w:rsidRDefault="006A2BB8">
      <w:pPr>
        <w:ind w:left="360"/>
        <w:jc w:val="both"/>
        <w:rPr>
          <w:rFonts w:ascii="Arial" w:hAnsi="Arial"/>
          <w:sz w:val="20"/>
        </w:rPr>
      </w:pPr>
    </w:p>
    <w:p w:rsidR="00DF6843" w:rsidRDefault="00DF6843">
      <w:pPr>
        <w:ind w:left="360"/>
        <w:jc w:val="both"/>
        <w:rPr>
          <w:rFonts w:ascii="Arial" w:hAnsi="Arial"/>
          <w:sz w:val="20"/>
        </w:rPr>
      </w:pPr>
    </w:p>
    <w:p w:rsidR="00827C13" w:rsidRPr="00827C13" w:rsidRDefault="00827C13" w:rsidP="00827C13">
      <w:pPr>
        <w:jc w:val="both"/>
        <w:rPr>
          <w:rFonts w:ascii="Arial" w:hAnsi="Arial"/>
          <w:b/>
          <w:sz w:val="20"/>
        </w:rPr>
      </w:pPr>
      <w:r w:rsidRPr="00827C13">
        <w:rPr>
          <w:rFonts w:ascii="Arial" w:hAnsi="Arial"/>
          <w:b/>
          <w:sz w:val="20"/>
        </w:rPr>
        <w:t>Additional information required by the Main Market’s Listing Requirement (Cont’d)</w:t>
      </w:r>
    </w:p>
    <w:p w:rsidR="00827C13" w:rsidRDefault="00827C13" w:rsidP="00827C13">
      <w:pPr>
        <w:ind w:left="360"/>
        <w:jc w:val="both"/>
        <w:rPr>
          <w:rFonts w:ascii="Arial" w:hAnsi="Arial"/>
          <w:sz w:val="20"/>
        </w:rPr>
      </w:pPr>
    </w:p>
    <w:p w:rsidR="00827C13" w:rsidRPr="00827C13" w:rsidRDefault="00827C13" w:rsidP="00827C13">
      <w:pPr>
        <w:ind w:left="360"/>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Variation of results against immediate preceding quarter</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 Group recorded a prof</w:t>
      </w:r>
      <w:r w:rsidR="00CE2AA6">
        <w:rPr>
          <w:rFonts w:ascii="Arial" w:hAnsi="Arial"/>
          <w:sz w:val="20"/>
        </w:rPr>
        <w:t xml:space="preserve">it before taxation </w:t>
      </w:r>
      <w:r w:rsidR="00A613FB">
        <w:rPr>
          <w:rFonts w:ascii="Arial" w:hAnsi="Arial"/>
          <w:sz w:val="20"/>
        </w:rPr>
        <w:t xml:space="preserve">and interest </w:t>
      </w:r>
      <w:r>
        <w:rPr>
          <w:rFonts w:ascii="Arial" w:hAnsi="Arial"/>
          <w:sz w:val="20"/>
        </w:rPr>
        <w:t>of RM</w:t>
      </w:r>
      <w:r w:rsidR="00EE5541">
        <w:rPr>
          <w:rFonts w:ascii="Arial" w:hAnsi="Arial"/>
          <w:sz w:val="20"/>
        </w:rPr>
        <w:t xml:space="preserve"> </w:t>
      </w:r>
      <w:r w:rsidR="008C3490">
        <w:rPr>
          <w:rFonts w:ascii="Arial" w:hAnsi="Arial"/>
          <w:sz w:val="20"/>
        </w:rPr>
        <w:t>3.7</w:t>
      </w:r>
      <w:r w:rsidR="004354DA">
        <w:rPr>
          <w:rFonts w:ascii="Arial" w:hAnsi="Arial"/>
          <w:sz w:val="20"/>
        </w:rPr>
        <w:t xml:space="preserve"> million for the </w:t>
      </w:r>
      <w:proofErr w:type="gramStart"/>
      <w:r w:rsidR="008C3490">
        <w:rPr>
          <w:rFonts w:ascii="Arial" w:hAnsi="Arial"/>
          <w:sz w:val="20"/>
        </w:rPr>
        <w:t>3rd</w:t>
      </w:r>
      <w:r w:rsidR="0023236F">
        <w:rPr>
          <w:rFonts w:ascii="Arial" w:hAnsi="Arial"/>
          <w:sz w:val="20"/>
        </w:rPr>
        <w:t xml:space="preserve"> </w:t>
      </w:r>
      <w:r w:rsidR="00AE4391">
        <w:rPr>
          <w:rFonts w:ascii="Arial" w:hAnsi="Arial"/>
          <w:sz w:val="20"/>
        </w:rPr>
        <w:t xml:space="preserve"> </w:t>
      </w:r>
      <w:r>
        <w:rPr>
          <w:rFonts w:ascii="Arial" w:hAnsi="Arial"/>
          <w:sz w:val="20"/>
        </w:rPr>
        <w:t>quarter</w:t>
      </w:r>
      <w:proofErr w:type="gramEnd"/>
      <w:r w:rsidR="00D401C4">
        <w:rPr>
          <w:rFonts w:ascii="Arial" w:hAnsi="Arial"/>
          <w:sz w:val="20"/>
        </w:rPr>
        <w:t xml:space="preserve"> t</w:t>
      </w:r>
      <w:r w:rsidR="008C3490">
        <w:rPr>
          <w:rFonts w:ascii="Arial" w:hAnsi="Arial"/>
          <w:sz w:val="20"/>
        </w:rPr>
        <w:t>o 30 Sept</w:t>
      </w:r>
      <w:r w:rsidR="0023236F">
        <w:rPr>
          <w:rFonts w:ascii="Arial" w:hAnsi="Arial"/>
          <w:sz w:val="20"/>
        </w:rPr>
        <w:t xml:space="preserve"> </w:t>
      </w:r>
      <w:r w:rsidR="00827C13">
        <w:rPr>
          <w:rFonts w:ascii="Arial" w:hAnsi="Arial"/>
          <w:sz w:val="20"/>
        </w:rPr>
        <w:t>2013</w:t>
      </w:r>
      <w:r>
        <w:rPr>
          <w:rFonts w:ascii="Arial" w:hAnsi="Arial"/>
          <w:sz w:val="20"/>
        </w:rPr>
        <w:t xml:space="preserve"> </w:t>
      </w:r>
      <w:r w:rsidR="00AE050A">
        <w:rPr>
          <w:rFonts w:ascii="Arial" w:hAnsi="Arial"/>
          <w:sz w:val="20"/>
        </w:rPr>
        <w:t>as compared to a profit of RM</w:t>
      </w:r>
      <w:r w:rsidR="008C3490">
        <w:rPr>
          <w:rFonts w:ascii="Arial" w:hAnsi="Arial"/>
          <w:sz w:val="20"/>
        </w:rPr>
        <w:t xml:space="preserve"> 5.2</w:t>
      </w:r>
      <w:r w:rsidR="00A317CE">
        <w:rPr>
          <w:rFonts w:ascii="Arial" w:hAnsi="Arial"/>
          <w:sz w:val="20"/>
        </w:rPr>
        <w:t xml:space="preserve"> </w:t>
      </w:r>
      <w:r w:rsidR="004354DA">
        <w:rPr>
          <w:rFonts w:ascii="Arial" w:hAnsi="Arial"/>
          <w:sz w:val="20"/>
        </w:rPr>
        <w:t>mil</w:t>
      </w:r>
      <w:r w:rsidR="00D401C4">
        <w:rPr>
          <w:rFonts w:ascii="Arial" w:hAnsi="Arial"/>
          <w:sz w:val="20"/>
        </w:rPr>
        <w:t>lio</w:t>
      </w:r>
      <w:r w:rsidR="004354DA">
        <w:rPr>
          <w:rFonts w:ascii="Arial" w:hAnsi="Arial"/>
          <w:sz w:val="20"/>
        </w:rPr>
        <w:t xml:space="preserve">n recorded in the preceding </w:t>
      </w:r>
      <w:r w:rsidR="008C3490">
        <w:rPr>
          <w:rFonts w:ascii="Arial" w:hAnsi="Arial"/>
          <w:sz w:val="20"/>
        </w:rPr>
        <w:t>2nd</w:t>
      </w:r>
      <w:r w:rsidR="00A613FB">
        <w:rPr>
          <w:rFonts w:ascii="Arial" w:hAnsi="Arial"/>
          <w:sz w:val="20"/>
        </w:rPr>
        <w:t xml:space="preserve"> </w:t>
      </w:r>
      <w:r w:rsidR="00BB65BC">
        <w:rPr>
          <w:rFonts w:ascii="Arial" w:hAnsi="Arial"/>
          <w:sz w:val="20"/>
        </w:rPr>
        <w:t xml:space="preserve"> </w:t>
      </w:r>
      <w:r w:rsidR="00AE4391">
        <w:rPr>
          <w:rFonts w:ascii="Arial" w:hAnsi="Arial"/>
          <w:sz w:val="20"/>
        </w:rPr>
        <w:t xml:space="preserve"> </w:t>
      </w:r>
      <w:r w:rsidR="004354DA">
        <w:rPr>
          <w:rFonts w:ascii="Arial" w:hAnsi="Arial"/>
          <w:sz w:val="20"/>
        </w:rPr>
        <w:t>quarter</w:t>
      </w:r>
      <w:r w:rsidR="00624686">
        <w:rPr>
          <w:rFonts w:ascii="Arial" w:hAnsi="Arial"/>
          <w:sz w:val="20"/>
        </w:rPr>
        <w:t>.</w:t>
      </w:r>
    </w:p>
    <w:p w:rsidR="0023236F" w:rsidRDefault="0023236F" w:rsidP="00827C13">
      <w:pPr>
        <w:jc w:val="both"/>
        <w:rPr>
          <w:rFonts w:ascii="Arial" w:hAnsi="Arial"/>
          <w:sz w:val="20"/>
        </w:rPr>
      </w:pPr>
    </w:p>
    <w:p w:rsidR="00270290" w:rsidRDefault="00270290">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t xml:space="preserve">Comparison of current and immediate </w:t>
      </w:r>
      <w:r w:rsidR="003618C6">
        <w:rPr>
          <w:rFonts w:ascii="Arial" w:hAnsi="Arial"/>
          <w:sz w:val="20"/>
        </w:rPr>
        <w:t>preceding quarter is as follows</w:t>
      </w:r>
      <w:r w:rsidR="00FE1989">
        <w:rPr>
          <w:rFonts w:ascii="Arial" w:hAnsi="Arial"/>
          <w:sz w:val="20"/>
        </w:rPr>
        <w:t>:</w:t>
      </w:r>
      <w:r>
        <w:rPr>
          <w:rFonts w:ascii="Arial" w:hAnsi="Arial"/>
          <w:sz w:val="20"/>
        </w:rPr>
        <w:t>–</w:t>
      </w:r>
    </w:p>
    <w:p w:rsidR="00DF6843" w:rsidRDefault="00DF6843">
      <w:pPr>
        <w:ind w:left="360"/>
        <w:jc w:val="both"/>
        <w:rPr>
          <w:rFonts w:ascii="Arial" w:hAnsi="Arial"/>
          <w:sz w:val="20"/>
        </w:rPr>
      </w:pPr>
    </w:p>
    <w:tbl>
      <w:tblPr>
        <w:tblW w:w="0" w:type="auto"/>
        <w:tblInd w:w="360" w:type="dxa"/>
        <w:tblLayout w:type="fixed"/>
        <w:tblLook w:val="0000" w:firstRow="0" w:lastRow="0" w:firstColumn="0" w:lastColumn="0" w:noHBand="0" w:noVBand="0"/>
      </w:tblPr>
      <w:tblGrid>
        <w:gridCol w:w="1908"/>
        <w:gridCol w:w="1260"/>
        <w:gridCol w:w="1440"/>
        <w:gridCol w:w="1284"/>
        <w:gridCol w:w="1440"/>
        <w:gridCol w:w="1260"/>
      </w:tblGrid>
      <w:tr w:rsidR="00DF6843">
        <w:tc>
          <w:tcPr>
            <w:tcW w:w="1908" w:type="dxa"/>
            <w:tcBorders>
              <w:bottom w:val="single" w:sz="4" w:space="0" w:color="auto"/>
            </w:tcBorders>
          </w:tcPr>
          <w:p w:rsidR="00DF6843" w:rsidRDefault="00DF6843">
            <w:pPr>
              <w:jc w:val="both"/>
              <w:rPr>
                <w:rFonts w:ascii="Arial" w:hAnsi="Arial"/>
                <w:sz w:val="20"/>
              </w:rPr>
            </w:pPr>
          </w:p>
        </w:tc>
        <w:tc>
          <w:tcPr>
            <w:tcW w:w="1260" w:type="dxa"/>
            <w:tcBorders>
              <w:bottom w:val="single" w:sz="4" w:space="0" w:color="auto"/>
            </w:tcBorders>
          </w:tcPr>
          <w:p w:rsidR="00DF6843" w:rsidRDefault="00DF6843">
            <w:pPr>
              <w:jc w:val="center"/>
              <w:rPr>
                <w:rFonts w:ascii="Arial" w:hAnsi="Arial"/>
                <w:b/>
                <w:sz w:val="20"/>
              </w:rPr>
            </w:pPr>
            <w:r>
              <w:rPr>
                <w:rFonts w:ascii="Arial" w:hAnsi="Arial"/>
                <w:b/>
                <w:sz w:val="20"/>
              </w:rPr>
              <w:t>Paper Milling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440" w:type="dxa"/>
            <w:tcBorders>
              <w:bottom w:val="single" w:sz="4" w:space="0" w:color="auto"/>
            </w:tcBorders>
          </w:tcPr>
          <w:p w:rsidR="00DF6843" w:rsidRDefault="00DF6843">
            <w:pPr>
              <w:jc w:val="center"/>
              <w:rPr>
                <w:rFonts w:ascii="Arial" w:hAnsi="Arial"/>
                <w:b/>
                <w:sz w:val="20"/>
              </w:rPr>
            </w:pPr>
            <w:r>
              <w:rPr>
                <w:rFonts w:ascii="Arial" w:hAnsi="Arial"/>
                <w:b/>
                <w:sz w:val="20"/>
              </w:rPr>
              <w:t>Paper Converting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284" w:type="dxa"/>
            <w:tcBorders>
              <w:bottom w:val="single" w:sz="4" w:space="0" w:color="auto"/>
            </w:tcBorders>
          </w:tcPr>
          <w:p w:rsidR="00DF6843" w:rsidRDefault="00DF6843">
            <w:pPr>
              <w:jc w:val="center"/>
              <w:rPr>
                <w:rFonts w:ascii="Arial" w:hAnsi="Arial"/>
                <w:b/>
                <w:sz w:val="20"/>
              </w:rPr>
            </w:pPr>
            <w:r>
              <w:rPr>
                <w:rFonts w:ascii="Arial" w:hAnsi="Arial"/>
                <w:b/>
                <w:sz w:val="20"/>
              </w:rPr>
              <w:t>Building Materials Trading</w:t>
            </w: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440" w:type="dxa"/>
            <w:tcBorders>
              <w:bottom w:val="single" w:sz="4" w:space="0" w:color="auto"/>
            </w:tcBorders>
          </w:tcPr>
          <w:p w:rsidR="00DF6843" w:rsidRDefault="00DF6843">
            <w:pPr>
              <w:jc w:val="center"/>
              <w:rPr>
                <w:rFonts w:ascii="Arial" w:hAnsi="Arial"/>
                <w:b/>
                <w:sz w:val="20"/>
              </w:rPr>
            </w:pPr>
            <w:r>
              <w:rPr>
                <w:rFonts w:ascii="Arial" w:hAnsi="Arial"/>
                <w:b/>
                <w:sz w:val="20"/>
              </w:rPr>
              <w:t>Investment &amp; Management</w:t>
            </w: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260" w:type="dxa"/>
            <w:tcBorders>
              <w:bottom w:val="single" w:sz="4" w:space="0" w:color="auto"/>
            </w:tcBorders>
          </w:tcPr>
          <w:p w:rsidR="00DF6843" w:rsidRDefault="00DF6843">
            <w:pPr>
              <w:jc w:val="center"/>
              <w:rPr>
                <w:rFonts w:ascii="Arial" w:hAnsi="Arial"/>
                <w:b/>
                <w:sz w:val="20"/>
              </w:rPr>
            </w:pPr>
            <w:r>
              <w:rPr>
                <w:rFonts w:ascii="Arial" w:hAnsi="Arial"/>
                <w:b/>
                <w:sz w:val="20"/>
              </w:rPr>
              <w:t>Other Trading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r>
      <w:tr w:rsidR="00DF6843">
        <w:tc>
          <w:tcPr>
            <w:tcW w:w="1908" w:type="dxa"/>
            <w:tcBorders>
              <w:top w:val="single" w:sz="4" w:space="0" w:color="auto"/>
            </w:tcBorders>
          </w:tcPr>
          <w:p w:rsidR="00DF6843" w:rsidRDefault="00DF6843" w:rsidP="00FE1989">
            <w:pPr>
              <w:rPr>
                <w:rFonts w:ascii="Arial" w:hAnsi="Arial"/>
                <w:sz w:val="20"/>
              </w:rPr>
            </w:pPr>
            <w:r>
              <w:rPr>
                <w:rFonts w:ascii="Arial" w:hAnsi="Arial"/>
                <w:sz w:val="20"/>
              </w:rPr>
              <w:t>Profit before tax/interest income/ expenses</w:t>
            </w:r>
          </w:p>
          <w:p w:rsidR="00DF6843" w:rsidRDefault="00DF6843" w:rsidP="00FE1989">
            <w:pPr>
              <w:rPr>
                <w:rFonts w:ascii="Arial" w:hAnsi="Arial"/>
                <w:sz w:val="20"/>
              </w:rPr>
            </w:pPr>
            <w:r>
              <w:rPr>
                <w:rFonts w:ascii="Arial" w:hAnsi="Arial"/>
                <w:sz w:val="20"/>
              </w:rPr>
              <w:t>- current quarter</w:t>
            </w:r>
          </w:p>
        </w:tc>
        <w:tc>
          <w:tcPr>
            <w:tcW w:w="126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BA2D9B">
            <w:pPr>
              <w:jc w:val="right"/>
              <w:rPr>
                <w:rFonts w:ascii="Arial" w:hAnsi="Arial"/>
                <w:sz w:val="20"/>
              </w:rPr>
            </w:pPr>
            <w:r>
              <w:rPr>
                <w:rFonts w:ascii="Arial" w:hAnsi="Arial"/>
                <w:sz w:val="20"/>
              </w:rPr>
              <w:t>887</w:t>
            </w:r>
          </w:p>
          <w:p w:rsidR="003C44E9" w:rsidRDefault="003C44E9">
            <w:pPr>
              <w:jc w:val="right"/>
              <w:rPr>
                <w:rFonts w:ascii="Arial" w:hAnsi="Arial"/>
                <w:sz w:val="20"/>
              </w:rPr>
            </w:pPr>
          </w:p>
        </w:tc>
        <w:tc>
          <w:tcPr>
            <w:tcW w:w="144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827C13" w:rsidP="00827C13">
            <w:pPr>
              <w:jc w:val="center"/>
              <w:rPr>
                <w:rFonts w:ascii="Arial" w:hAnsi="Arial"/>
                <w:sz w:val="20"/>
              </w:rPr>
            </w:pPr>
            <w:r>
              <w:rPr>
                <w:rFonts w:ascii="Arial" w:hAnsi="Arial"/>
                <w:sz w:val="20"/>
              </w:rPr>
              <w:t xml:space="preserve">              </w:t>
            </w:r>
            <w:r w:rsidR="00BA2D9B">
              <w:rPr>
                <w:rFonts w:ascii="Arial" w:hAnsi="Arial"/>
                <w:sz w:val="20"/>
              </w:rPr>
              <w:t>87</w:t>
            </w:r>
          </w:p>
        </w:tc>
        <w:tc>
          <w:tcPr>
            <w:tcW w:w="1284"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BA2D9B">
            <w:pPr>
              <w:jc w:val="right"/>
              <w:rPr>
                <w:rFonts w:ascii="Arial" w:hAnsi="Arial"/>
                <w:sz w:val="20"/>
              </w:rPr>
            </w:pPr>
            <w:r>
              <w:rPr>
                <w:rFonts w:ascii="Arial" w:hAnsi="Arial"/>
                <w:sz w:val="20"/>
              </w:rPr>
              <w:t>2,322</w:t>
            </w:r>
          </w:p>
        </w:tc>
        <w:tc>
          <w:tcPr>
            <w:tcW w:w="144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BA2D9B">
            <w:pPr>
              <w:jc w:val="right"/>
              <w:rPr>
                <w:rFonts w:ascii="Arial" w:hAnsi="Arial"/>
                <w:sz w:val="20"/>
              </w:rPr>
            </w:pPr>
            <w:r>
              <w:rPr>
                <w:rFonts w:ascii="Arial" w:hAnsi="Arial"/>
                <w:sz w:val="20"/>
              </w:rPr>
              <w:t>26</w:t>
            </w:r>
          </w:p>
        </w:tc>
        <w:tc>
          <w:tcPr>
            <w:tcW w:w="126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BA2D9B">
            <w:pPr>
              <w:jc w:val="right"/>
              <w:rPr>
                <w:rFonts w:ascii="Arial" w:hAnsi="Arial"/>
                <w:sz w:val="20"/>
              </w:rPr>
            </w:pPr>
            <w:r>
              <w:rPr>
                <w:rFonts w:ascii="Arial" w:hAnsi="Arial"/>
                <w:sz w:val="20"/>
              </w:rPr>
              <w:t>354</w:t>
            </w:r>
          </w:p>
        </w:tc>
      </w:tr>
      <w:tr w:rsidR="00DF6843">
        <w:tc>
          <w:tcPr>
            <w:tcW w:w="1908" w:type="dxa"/>
            <w:tcBorders>
              <w:bottom w:val="single" w:sz="4" w:space="0" w:color="auto"/>
            </w:tcBorders>
          </w:tcPr>
          <w:p w:rsidR="00DF6843" w:rsidRDefault="00DF6843">
            <w:pPr>
              <w:jc w:val="both"/>
              <w:rPr>
                <w:rFonts w:ascii="Arial" w:hAnsi="Arial"/>
                <w:sz w:val="20"/>
              </w:rPr>
            </w:pPr>
            <w:r>
              <w:rPr>
                <w:rFonts w:ascii="Arial" w:hAnsi="Arial"/>
                <w:sz w:val="20"/>
              </w:rPr>
              <w:t>- preceding quarter</w:t>
            </w:r>
          </w:p>
        </w:tc>
        <w:tc>
          <w:tcPr>
            <w:tcW w:w="1260" w:type="dxa"/>
            <w:tcBorders>
              <w:bottom w:val="single" w:sz="4" w:space="0" w:color="auto"/>
            </w:tcBorders>
          </w:tcPr>
          <w:p w:rsidR="00DF6843" w:rsidRDefault="00041F70">
            <w:pPr>
              <w:jc w:val="right"/>
              <w:rPr>
                <w:rFonts w:ascii="Arial" w:hAnsi="Arial"/>
                <w:sz w:val="20"/>
              </w:rPr>
            </w:pPr>
            <w:r>
              <w:rPr>
                <w:rFonts w:ascii="Arial" w:hAnsi="Arial"/>
                <w:sz w:val="20"/>
              </w:rPr>
              <w:t>9</w:t>
            </w:r>
            <w:r w:rsidR="008C3490">
              <w:rPr>
                <w:rFonts w:ascii="Arial" w:hAnsi="Arial"/>
                <w:sz w:val="20"/>
              </w:rPr>
              <w:t>96</w:t>
            </w:r>
          </w:p>
        </w:tc>
        <w:tc>
          <w:tcPr>
            <w:tcW w:w="1440" w:type="dxa"/>
            <w:tcBorders>
              <w:bottom w:val="single" w:sz="4" w:space="0" w:color="auto"/>
            </w:tcBorders>
          </w:tcPr>
          <w:p w:rsidR="00DF6843" w:rsidRDefault="00041F70" w:rsidP="00041F70">
            <w:pPr>
              <w:jc w:val="center"/>
              <w:rPr>
                <w:rFonts w:ascii="Arial" w:hAnsi="Arial"/>
                <w:sz w:val="20"/>
              </w:rPr>
            </w:pPr>
            <w:r>
              <w:rPr>
                <w:rFonts w:ascii="Arial" w:hAnsi="Arial"/>
                <w:sz w:val="20"/>
              </w:rPr>
              <w:t xml:space="preserve">              5</w:t>
            </w:r>
            <w:r w:rsidR="008C3490">
              <w:rPr>
                <w:rFonts w:ascii="Arial" w:hAnsi="Arial"/>
                <w:sz w:val="20"/>
              </w:rPr>
              <w:t>30</w:t>
            </w:r>
          </w:p>
        </w:tc>
        <w:tc>
          <w:tcPr>
            <w:tcW w:w="1284" w:type="dxa"/>
            <w:tcBorders>
              <w:bottom w:val="single" w:sz="4" w:space="0" w:color="auto"/>
            </w:tcBorders>
          </w:tcPr>
          <w:p w:rsidR="00DF6843" w:rsidRDefault="00624686" w:rsidP="00624686">
            <w:pPr>
              <w:jc w:val="center"/>
              <w:rPr>
                <w:rFonts w:ascii="Arial" w:hAnsi="Arial"/>
                <w:sz w:val="20"/>
              </w:rPr>
            </w:pPr>
            <w:r>
              <w:rPr>
                <w:rFonts w:ascii="Arial" w:hAnsi="Arial"/>
                <w:sz w:val="20"/>
              </w:rPr>
              <w:t xml:space="preserve">          </w:t>
            </w:r>
            <w:r w:rsidR="008C3490">
              <w:rPr>
                <w:rFonts w:ascii="Arial" w:hAnsi="Arial"/>
                <w:sz w:val="20"/>
              </w:rPr>
              <w:t>3,447</w:t>
            </w:r>
          </w:p>
        </w:tc>
        <w:tc>
          <w:tcPr>
            <w:tcW w:w="1440" w:type="dxa"/>
            <w:tcBorders>
              <w:bottom w:val="single" w:sz="4" w:space="0" w:color="auto"/>
            </w:tcBorders>
          </w:tcPr>
          <w:p w:rsidR="00DF6843" w:rsidRDefault="008C3490">
            <w:pPr>
              <w:jc w:val="right"/>
              <w:rPr>
                <w:rFonts w:ascii="Arial" w:hAnsi="Arial"/>
                <w:sz w:val="20"/>
              </w:rPr>
            </w:pPr>
            <w:r>
              <w:rPr>
                <w:rFonts w:ascii="Arial" w:hAnsi="Arial"/>
                <w:sz w:val="20"/>
              </w:rPr>
              <w:t>73</w:t>
            </w:r>
          </w:p>
        </w:tc>
        <w:tc>
          <w:tcPr>
            <w:tcW w:w="1260" w:type="dxa"/>
            <w:tcBorders>
              <w:bottom w:val="single" w:sz="4" w:space="0" w:color="auto"/>
            </w:tcBorders>
          </w:tcPr>
          <w:p w:rsidR="00DF6843" w:rsidRDefault="008C3490">
            <w:pPr>
              <w:jc w:val="right"/>
              <w:rPr>
                <w:rFonts w:ascii="Arial" w:hAnsi="Arial"/>
                <w:sz w:val="20"/>
              </w:rPr>
            </w:pPr>
            <w:r>
              <w:rPr>
                <w:rFonts w:ascii="Arial" w:hAnsi="Arial"/>
                <w:sz w:val="20"/>
              </w:rPr>
              <w:t>213</w:t>
            </w:r>
          </w:p>
          <w:p w:rsidR="004354DA" w:rsidRDefault="004354DA">
            <w:pPr>
              <w:jc w:val="right"/>
              <w:rPr>
                <w:rFonts w:ascii="Arial" w:hAnsi="Arial"/>
                <w:sz w:val="20"/>
              </w:rPr>
            </w:pPr>
          </w:p>
        </w:tc>
      </w:tr>
      <w:tr w:rsidR="00DF6843">
        <w:tc>
          <w:tcPr>
            <w:tcW w:w="1908" w:type="dxa"/>
            <w:tcBorders>
              <w:top w:val="single" w:sz="4" w:space="0" w:color="auto"/>
              <w:bottom w:val="single" w:sz="4" w:space="0" w:color="auto"/>
            </w:tcBorders>
          </w:tcPr>
          <w:p w:rsidR="00DF6843" w:rsidRDefault="00DF6843">
            <w:pPr>
              <w:jc w:val="both"/>
              <w:rPr>
                <w:rFonts w:ascii="Arial" w:hAnsi="Arial"/>
                <w:b/>
                <w:sz w:val="20"/>
              </w:rPr>
            </w:pPr>
          </w:p>
          <w:p w:rsidR="00DF6843" w:rsidRDefault="00DF6843">
            <w:pPr>
              <w:jc w:val="both"/>
              <w:rPr>
                <w:rFonts w:ascii="Arial" w:hAnsi="Arial"/>
                <w:b/>
                <w:sz w:val="20"/>
              </w:rPr>
            </w:pPr>
            <w:r>
              <w:rPr>
                <w:rFonts w:ascii="Arial" w:hAnsi="Arial"/>
                <w:b/>
                <w:sz w:val="20"/>
              </w:rPr>
              <w:t>Difference</w:t>
            </w:r>
          </w:p>
        </w:tc>
        <w:tc>
          <w:tcPr>
            <w:tcW w:w="1260" w:type="dxa"/>
            <w:tcBorders>
              <w:top w:val="single" w:sz="4" w:space="0" w:color="auto"/>
              <w:bottom w:val="single" w:sz="4" w:space="0" w:color="auto"/>
            </w:tcBorders>
          </w:tcPr>
          <w:p w:rsidR="00DF6843" w:rsidRDefault="00DF6843">
            <w:pPr>
              <w:jc w:val="right"/>
              <w:rPr>
                <w:rFonts w:ascii="Arial" w:hAnsi="Arial"/>
                <w:b/>
                <w:sz w:val="20"/>
              </w:rPr>
            </w:pPr>
          </w:p>
          <w:p w:rsidR="00DF6843" w:rsidRDefault="00A317CE" w:rsidP="00A613FB">
            <w:pPr>
              <w:jc w:val="center"/>
              <w:rPr>
                <w:rFonts w:ascii="Arial" w:hAnsi="Arial"/>
                <w:b/>
                <w:sz w:val="20"/>
              </w:rPr>
            </w:pPr>
            <w:r>
              <w:rPr>
                <w:rFonts w:ascii="Arial" w:hAnsi="Arial"/>
                <w:b/>
                <w:sz w:val="20"/>
              </w:rPr>
              <w:t xml:space="preserve">  </w:t>
            </w:r>
            <w:r w:rsidR="00DA4A86">
              <w:rPr>
                <w:rFonts w:ascii="Arial" w:hAnsi="Arial"/>
                <w:b/>
                <w:sz w:val="20"/>
              </w:rPr>
              <w:t xml:space="preserve">        </w:t>
            </w:r>
            <w:r w:rsidR="00BA2D9B">
              <w:rPr>
                <w:rFonts w:ascii="Arial" w:hAnsi="Arial"/>
                <w:b/>
                <w:sz w:val="20"/>
              </w:rPr>
              <w:t>(109)</w:t>
            </w:r>
          </w:p>
        </w:tc>
        <w:tc>
          <w:tcPr>
            <w:tcW w:w="1440" w:type="dxa"/>
            <w:tcBorders>
              <w:top w:val="single" w:sz="4" w:space="0" w:color="auto"/>
              <w:bottom w:val="single" w:sz="4" w:space="0" w:color="auto"/>
            </w:tcBorders>
          </w:tcPr>
          <w:p w:rsidR="00DF6843" w:rsidRDefault="00DF6843">
            <w:pPr>
              <w:jc w:val="right"/>
              <w:rPr>
                <w:rFonts w:ascii="Arial" w:hAnsi="Arial"/>
                <w:b/>
                <w:sz w:val="20"/>
              </w:rPr>
            </w:pPr>
          </w:p>
          <w:p w:rsidR="00DF6843" w:rsidRDefault="001C15A2" w:rsidP="001C15A2">
            <w:pPr>
              <w:jc w:val="center"/>
              <w:rPr>
                <w:rFonts w:ascii="Arial" w:hAnsi="Arial"/>
                <w:b/>
                <w:sz w:val="20"/>
              </w:rPr>
            </w:pPr>
            <w:r>
              <w:rPr>
                <w:rFonts w:ascii="Arial" w:hAnsi="Arial"/>
                <w:b/>
                <w:sz w:val="20"/>
              </w:rPr>
              <w:t xml:space="preserve">          </w:t>
            </w:r>
            <w:r w:rsidR="00041F70">
              <w:rPr>
                <w:rFonts w:ascii="Arial" w:hAnsi="Arial"/>
                <w:b/>
                <w:sz w:val="20"/>
              </w:rPr>
              <w:t xml:space="preserve">   </w:t>
            </w:r>
            <w:r w:rsidR="00BA2D9B">
              <w:rPr>
                <w:rFonts w:ascii="Arial" w:hAnsi="Arial"/>
                <w:b/>
                <w:sz w:val="20"/>
              </w:rPr>
              <w:t>(443)</w:t>
            </w:r>
          </w:p>
        </w:tc>
        <w:tc>
          <w:tcPr>
            <w:tcW w:w="1284" w:type="dxa"/>
            <w:tcBorders>
              <w:top w:val="single" w:sz="4" w:space="0" w:color="auto"/>
              <w:bottom w:val="single" w:sz="4" w:space="0" w:color="auto"/>
            </w:tcBorders>
          </w:tcPr>
          <w:p w:rsidR="00DF6843" w:rsidRDefault="00DF6843">
            <w:pPr>
              <w:jc w:val="right"/>
              <w:rPr>
                <w:rFonts w:ascii="Arial" w:hAnsi="Arial"/>
                <w:b/>
                <w:sz w:val="20"/>
              </w:rPr>
            </w:pPr>
          </w:p>
          <w:p w:rsidR="00DF6843" w:rsidRDefault="00A613FB" w:rsidP="00A613FB">
            <w:pPr>
              <w:jc w:val="center"/>
              <w:rPr>
                <w:rFonts w:ascii="Arial" w:hAnsi="Arial"/>
                <w:b/>
                <w:sz w:val="20"/>
              </w:rPr>
            </w:pPr>
            <w:r>
              <w:rPr>
                <w:rFonts w:ascii="Arial" w:hAnsi="Arial"/>
                <w:b/>
                <w:sz w:val="20"/>
              </w:rPr>
              <w:t xml:space="preserve">   </w:t>
            </w:r>
            <w:r w:rsidR="00827C13">
              <w:rPr>
                <w:rFonts w:ascii="Arial" w:hAnsi="Arial"/>
                <w:b/>
                <w:sz w:val="20"/>
              </w:rPr>
              <w:t xml:space="preserve">  </w:t>
            </w:r>
            <w:r>
              <w:rPr>
                <w:rFonts w:ascii="Arial" w:hAnsi="Arial"/>
                <w:b/>
                <w:sz w:val="20"/>
              </w:rPr>
              <w:t xml:space="preserve">  </w:t>
            </w:r>
            <w:r w:rsidR="00BA2D9B">
              <w:rPr>
                <w:rFonts w:ascii="Arial" w:hAnsi="Arial"/>
                <w:b/>
                <w:sz w:val="20"/>
              </w:rPr>
              <w:t>(1,125</w:t>
            </w:r>
            <w:r w:rsidR="00041F70">
              <w:rPr>
                <w:rFonts w:ascii="Arial" w:hAnsi="Arial"/>
                <w:b/>
                <w:sz w:val="20"/>
              </w:rPr>
              <w:t>)</w:t>
            </w:r>
          </w:p>
        </w:tc>
        <w:tc>
          <w:tcPr>
            <w:tcW w:w="1440" w:type="dxa"/>
            <w:tcBorders>
              <w:top w:val="single" w:sz="4" w:space="0" w:color="auto"/>
              <w:bottom w:val="single" w:sz="4" w:space="0" w:color="auto"/>
            </w:tcBorders>
          </w:tcPr>
          <w:p w:rsidR="00DF6843" w:rsidRDefault="00DA4A86" w:rsidP="00DA4A86">
            <w:pPr>
              <w:jc w:val="center"/>
              <w:rPr>
                <w:rFonts w:ascii="Arial" w:hAnsi="Arial"/>
                <w:b/>
                <w:sz w:val="20"/>
              </w:rPr>
            </w:pPr>
            <w:r>
              <w:rPr>
                <w:rFonts w:ascii="Arial" w:hAnsi="Arial"/>
                <w:b/>
                <w:sz w:val="20"/>
              </w:rPr>
              <w:t xml:space="preserve">   </w:t>
            </w:r>
          </w:p>
          <w:p w:rsidR="00DF6843" w:rsidRDefault="00BA2D9B">
            <w:pPr>
              <w:jc w:val="right"/>
              <w:rPr>
                <w:rFonts w:ascii="Arial" w:hAnsi="Arial"/>
                <w:b/>
                <w:sz w:val="20"/>
              </w:rPr>
            </w:pPr>
            <w:r>
              <w:rPr>
                <w:rFonts w:ascii="Arial" w:hAnsi="Arial"/>
                <w:b/>
                <w:sz w:val="20"/>
              </w:rPr>
              <w:t>(47)</w:t>
            </w:r>
          </w:p>
        </w:tc>
        <w:tc>
          <w:tcPr>
            <w:tcW w:w="1260" w:type="dxa"/>
            <w:tcBorders>
              <w:top w:val="single" w:sz="4" w:space="0" w:color="auto"/>
              <w:bottom w:val="single" w:sz="4" w:space="0" w:color="auto"/>
            </w:tcBorders>
          </w:tcPr>
          <w:p w:rsidR="00DF6843" w:rsidRDefault="00DF6843">
            <w:pPr>
              <w:jc w:val="right"/>
              <w:rPr>
                <w:rFonts w:ascii="Arial" w:hAnsi="Arial"/>
                <w:b/>
                <w:sz w:val="20"/>
              </w:rPr>
            </w:pPr>
          </w:p>
          <w:p w:rsidR="00DF6843" w:rsidRDefault="00DA4A86" w:rsidP="00DA4A86">
            <w:pPr>
              <w:jc w:val="center"/>
              <w:rPr>
                <w:rFonts w:ascii="Arial" w:hAnsi="Arial"/>
                <w:b/>
                <w:sz w:val="20"/>
              </w:rPr>
            </w:pPr>
            <w:r>
              <w:rPr>
                <w:rFonts w:ascii="Arial" w:hAnsi="Arial"/>
                <w:b/>
                <w:sz w:val="20"/>
              </w:rPr>
              <w:t xml:space="preserve">  </w:t>
            </w:r>
            <w:r w:rsidR="00647357">
              <w:rPr>
                <w:rFonts w:ascii="Arial" w:hAnsi="Arial"/>
                <w:b/>
                <w:sz w:val="20"/>
              </w:rPr>
              <w:t xml:space="preserve">   </w:t>
            </w:r>
            <w:r>
              <w:rPr>
                <w:rFonts w:ascii="Arial" w:hAnsi="Arial"/>
                <w:b/>
                <w:sz w:val="20"/>
              </w:rPr>
              <w:t xml:space="preserve">       </w:t>
            </w:r>
            <w:r w:rsidR="00BA2D9B">
              <w:rPr>
                <w:rFonts w:ascii="Arial" w:hAnsi="Arial"/>
                <w:b/>
                <w:sz w:val="20"/>
              </w:rPr>
              <w:t>141</w:t>
            </w:r>
          </w:p>
        </w:tc>
      </w:tr>
    </w:tbl>
    <w:p w:rsidR="00DF6843" w:rsidRDefault="00DF6843">
      <w:pPr>
        <w:jc w:val="both"/>
        <w:rPr>
          <w:rFonts w:ascii="Arial" w:hAnsi="Arial"/>
          <w:b/>
          <w:sz w:val="20"/>
        </w:rPr>
      </w:pPr>
    </w:p>
    <w:p w:rsidR="00DF6843" w:rsidRPr="0084753D" w:rsidRDefault="00D401C4" w:rsidP="0084753D">
      <w:pPr>
        <w:jc w:val="both"/>
        <w:rPr>
          <w:rFonts w:ascii="Arial" w:hAnsi="Arial"/>
          <w:sz w:val="20"/>
        </w:rPr>
      </w:pPr>
      <w:r w:rsidRPr="0084753D">
        <w:rPr>
          <w:rFonts w:ascii="Arial" w:hAnsi="Arial"/>
          <w:sz w:val="20"/>
        </w:rPr>
        <w:t>Th</w:t>
      </w:r>
      <w:r w:rsidR="007C6B43" w:rsidRPr="0084753D">
        <w:rPr>
          <w:rFonts w:ascii="Arial" w:hAnsi="Arial"/>
          <w:sz w:val="20"/>
        </w:rPr>
        <w:t xml:space="preserve">e </w:t>
      </w:r>
      <w:r w:rsidR="00BA2D9B">
        <w:rPr>
          <w:rFonts w:ascii="Arial" w:hAnsi="Arial"/>
          <w:sz w:val="20"/>
        </w:rPr>
        <w:t>3rd</w:t>
      </w:r>
      <w:r w:rsidR="00AE4391" w:rsidRPr="0084753D">
        <w:rPr>
          <w:rFonts w:ascii="Arial" w:hAnsi="Arial"/>
          <w:sz w:val="20"/>
        </w:rPr>
        <w:t xml:space="preserve"> </w:t>
      </w:r>
      <w:r w:rsidR="00DF6843" w:rsidRPr="0084753D">
        <w:rPr>
          <w:rFonts w:ascii="Arial" w:hAnsi="Arial"/>
          <w:sz w:val="20"/>
        </w:rPr>
        <w:t>qu</w:t>
      </w:r>
      <w:r w:rsidRPr="0084753D">
        <w:rPr>
          <w:rFonts w:ascii="Arial" w:hAnsi="Arial"/>
          <w:sz w:val="20"/>
        </w:rPr>
        <w:t>arter results</w:t>
      </w:r>
      <w:r w:rsidR="00C6425C" w:rsidRPr="0084753D">
        <w:rPr>
          <w:rFonts w:ascii="Arial" w:hAnsi="Arial"/>
          <w:sz w:val="20"/>
        </w:rPr>
        <w:t xml:space="preserve"> were </w:t>
      </w:r>
      <w:r w:rsidR="00252D3C">
        <w:rPr>
          <w:rFonts w:ascii="Arial" w:hAnsi="Arial"/>
          <w:sz w:val="20"/>
        </w:rPr>
        <w:t>lower</w:t>
      </w:r>
      <w:r w:rsidRPr="0084753D">
        <w:rPr>
          <w:rFonts w:ascii="Arial" w:hAnsi="Arial"/>
          <w:sz w:val="20"/>
        </w:rPr>
        <w:t xml:space="preserve"> than preceding last</w:t>
      </w:r>
      <w:r w:rsidR="00F50311" w:rsidRPr="0084753D">
        <w:rPr>
          <w:rFonts w:ascii="Arial" w:hAnsi="Arial"/>
          <w:sz w:val="20"/>
        </w:rPr>
        <w:t xml:space="preserve"> </w:t>
      </w:r>
      <w:r w:rsidR="00DF6843" w:rsidRPr="0084753D">
        <w:rPr>
          <w:rFonts w:ascii="Arial" w:hAnsi="Arial"/>
          <w:sz w:val="20"/>
        </w:rPr>
        <w:t>quar</w:t>
      </w:r>
      <w:r w:rsidR="00F50311" w:rsidRPr="0084753D">
        <w:rPr>
          <w:rFonts w:ascii="Arial" w:hAnsi="Arial"/>
          <w:sz w:val="20"/>
        </w:rPr>
        <w:t xml:space="preserve">ter </w:t>
      </w:r>
      <w:r w:rsidR="00C6425C" w:rsidRPr="0084753D">
        <w:rPr>
          <w:rFonts w:ascii="Arial" w:hAnsi="Arial"/>
          <w:sz w:val="20"/>
        </w:rPr>
        <w:t xml:space="preserve">due to </w:t>
      </w:r>
      <w:r w:rsidR="00252D3C">
        <w:rPr>
          <w:rFonts w:ascii="Arial" w:hAnsi="Arial"/>
          <w:sz w:val="20"/>
        </w:rPr>
        <w:t>lower</w:t>
      </w:r>
      <w:r w:rsidR="00BA2D9B">
        <w:rPr>
          <w:rFonts w:ascii="Arial" w:hAnsi="Arial"/>
          <w:sz w:val="20"/>
        </w:rPr>
        <w:t xml:space="preserve"> revenue and</w:t>
      </w:r>
      <w:r w:rsidR="00164884" w:rsidRPr="0084753D">
        <w:rPr>
          <w:rFonts w:ascii="Arial" w:hAnsi="Arial"/>
          <w:sz w:val="20"/>
        </w:rPr>
        <w:t xml:space="preserve"> profit </w:t>
      </w:r>
      <w:proofErr w:type="gramStart"/>
      <w:r w:rsidR="00164884" w:rsidRPr="0084753D">
        <w:rPr>
          <w:rFonts w:ascii="Arial" w:hAnsi="Arial"/>
          <w:sz w:val="20"/>
        </w:rPr>
        <w:t>margins</w:t>
      </w:r>
      <w:r w:rsidR="00A345E7" w:rsidRPr="0084753D">
        <w:rPr>
          <w:rFonts w:ascii="Arial" w:hAnsi="Arial"/>
          <w:sz w:val="20"/>
        </w:rPr>
        <w:t xml:space="preserve"> </w:t>
      </w:r>
      <w:r w:rsidR="00BA2D9B">
        <w:rPr>
          <w:rFonts w:ascii="Arial" w:hAnsi="Arial"/>
          <w:sz w:val="20"/>
        </w:rPr>
        <w:t>.</w:t>
      </w:r>
      <w:proofErr w:type="gramEnd"/>
    </w:p>
    <w:p w:rsidR="00DF6843" w:rsidRDefault="00DF6843" w:rsidP="0084753D">
      <w:pPr>
        <w:pStyle w:val="BlockText"/>
        <w:ind w:left="0" w:right="0"/>
      </w:pPr>
    </w:p>
    <w:p w:rsidR="00DF6843" w:rsidRDefault="00DF6843">
      <w:pPr>
        <w:pStyle w:val="BlockText"/>
        <w:numPr>
          <w:ilvl w:val="0"/>
          <w:numId w:val="2"/>
        </w:numPr>
        <w:tabs>
          <w:tab w:val="clear" w:pos="720"/>
          <w:tab w:val="num" w:pos="360"/>
        </w:tabs>
        <w:ind w:right="0" w:hanging="720"/>
        <w:rPr>
          <w:u w:val="single"/>
        </w:rPr>
      </w:pPr>
      <w:r>
        <w:rPr>
          <w:u w:val="single"/>
        </w:rPr>
        <w:t>Profit Forecast</w:t>
      </w:r>
    </w:p>
    <w:p w:rsidR="00DF6843" w:rsidRDefault="00DF6843">
      <w:pPr>
        <w:pStyle w:val="BlockText"/>
        <w:ind w:left="0" w:right="0"/>
        <w:rPr>
          <w:u w:val="single"/>
        </w:rPr>
      </w:pPr>
    </w:p>
    <w:p w:rsidR="00DF6843" w:rsidRDefault="00DF6843">
      <w:pPr>
        <w:pStyle w:val="BlockText"/>
        <w:ind w:right="0"/>
      </w:pPr>
      <w:r>
        <w:t>There were no profit forecasts for the current period.</w:t>
      </w:r>
    </w:p>
    <w:p w:rsidR="00DF6843" w:rsidRDefault="00DF6843">
      <w:pPr>
        <w:pStyle w:val="BlockText"/>
        <w:ind w:left="0" w:right="0"/>
      </w:pPr>
    </w:p>
    <w:p w:rsidR="00AE4391" w:rsidRPr="000B5AB9" w:rsidRDefault="00AE4391" w:rsidP="000B5AB9">
      <w:pPr>
        <w:jc w:val="both"/>
        <w:rPr>
          <w:rFonts w:ascii="Arial" w:hAnsi="Arial"/>
          <w:b/>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Taxation</w:t>
      </w:r>
    </w:p>
    <w:p w:rsidR="00DF6843" w:rsidRDefault="00DF6843">
      <w:pPr>
        <w:ind w:left="360"/>
        <w:jc w:val="both"/>
        <w:rPr>
          <w:rFonts w:ascii="Arial" w:hAnsi="Arial"/>
          <w:sz w:val="20"/>
        </w:rPr>
      </w:pPr>
      <w:r>
        <w:rPr>
          <w:rFonts w:ascii="Arial" w:hAnsi="Arial"/>
          <w:sz w:val="20"/>
        </w:rPr>
        <w:t xml:space="preserve"> </w:t>
      </w:r>
    </w:p>
    <w:p w:rsidR="00DF6843" w:rsidRPr="00667AF3" w:rsidRDefault="00271976">
      <w:pPr>
        <w:ind w:left="360"/>
        <w:jc w:val="both"/>
        <w:rPr>
          <w:rFonts w:ascii="Arial" w:hAnsi="Arial"/>
          <w:b/>
          <w:sz w:val="20"/>
          <w:u w:val="single"/>
        </w:rPr>
      </w:pPr>
      <w:r>
        <w:rPr>
          <w:rFonts w:ascii="Arial" w:hAnsi="Arial"/>
          <w:sz w:val="20"/>
        </w:rPr>
        <w:t xml:space="preserve">          </w:t>
      </w:r>
      <w:r w:rsidR="007C4859">
        <w:rPr>
          <w:rFonts w:ascii="Arial" w:hAnsi="Arial"/>
          <w:sz w:val="20"/>
        </w:rPr>
        <w:t xml:space="preserve">             </w:t>
      </w:r>
      <w:r w:rsidR="007C6B43">
        <w:rPr>
          <w:rFonts w:ascii="Arial" w:hAnsi="Arial"/>
          <w:sz w:val="20"/>
        </w:rPr>
        <w:t xml:space="preserve">      </w:t>
      </w:r>
      <w:r w:rsidR="00BA2D9B">
        <w:rPr>
          <w:rFonts w:ascii="Arial" w:hAnsi="Arial"/>
          <w:b/>
          <w:sz w:val="20"/>
          <w:u w:val="single"/>
        </w:rPr>
        <w:t>9</w:t>
      </w:r>
      <w:r w:rsidR="00AE4391">
        <w:rPr>
          <w:rFonts w:ascii="Arial" w:hAnsi="Arial"/>
          <w:b/>
          <w:sz w:val="20"/>
          <w:u w:val="single"/>
        </w:rPr>
        <w:t>-</w:t>
      </w:r>
      <w:r w:rsidR="00BA2D9B">
        <w:rPr>
          <w:rFonts w:ascii="Arial" w:hAnsi="Arial"/>
          <w:b/>
          <w:sz w:val="20"/>
          <w:u w:val="single"/>
        </w:rPr>
        <w:t>months to 30 Sept</w:t>
      </w:r>
      <w:r w:rsidR="007C4859" w:rsidRPr="00667AF3">
        <w:rPr>
          <w:rFonts w:ascii="Arial" w:hAnsi="Arial"/>
          <w:b/>
          <w:sz w:val="20"/>
          <w:u w:val="single"/>
        </w:rPr>
        <w:t xml:space="preserve"> </w:t>
      </w:r>
      <w:r w:rsidR="00647357">
        <w:rPr>
          <w:rFonts w:ascii="Arial" w:hAnsi="Arial"/>
          <w:b/>
          <w:sz w:val="20"/>
          <w:u w:val="single"/>
        </w:rPr>
        <w:t>2013</w:t>
      </w:r>
    </w:p>
    <w:p w:rsidR="00271976" w:rsidRPr="00667AF3" w:rsidRDefault="00AD7775">
      <w:pPr>
        <w:ind w:left="360"/>
        <w:jc w:val="both"/>
        <w:rPr>
          <w:rFonts w:ascii="Arial" w:hAnsi="Arial"/>
          <w:b/>
          <w:sz w:val="20"/>
          <w:u w:val="single"/>
        </w:rPr>
      </w:pPr>
      <w:r>
        <w:rPr>
          <w:rFonts w:ascii="Arial" w:hAnsi="Arial"/>
          <w:sz w:val="20"/>
        </w:rPr>
        <w:t xml:space="preserve">                                                </w:t>
      </w:r>
      <w:r w:rsidR="0084753D">
        <w:rPr>
          <w:rFonts w:ascii="Arial" w:hAnsi="Arial"/>
          <w:sz w:val="20"/>
        </w:rPr>
        <w:t xml:space="preserve">     </w:t>
      </w:r>
      <w:r>
        <w:rPr>
          <w:rFonts w:ascii="Arial" w:hAnsi="Arial"/>
          <w:sz w:val="20"/>
        </w:rPr>
        <w:t xml:space="preserve"> </w:t>
      </w:r>
      <w:r w:rsidRPr="00667AF3">
        <w:rPr>
          <w:rFonts w:ascii="Arial" w:hAnsi="Arial"/>
          <w:b/>
          <w:sz w:val="20"/>
          <w:u w:val="single"/>
        </w:rPr>
        <w:t>RM ‘000</w:t>
      </w:r>
    </w:p>
    <w:p w:rsidR="00AD7775" w:rsidRDefault="00AD7775">
      <w:pPr>
        <w:ind w:left="360"/>
        <w:jc w:val="both"/>
        <w:rPr>
          <w:rFonts w:ascii="Arial" w:hAnsi="Arial"/>
          <w:sz w:val="20"/>
        </w:rPr>
      </w:pPr>
      <w:r>
        <w:rPr>
          <w:rFonts w:ascii="Arial" w:hAnsi="Arial"/>
          <w:sz w:val="20"/>
        </w:rPr>
        <w:t xml:space="preserve"> </w:t>
      </w:r>
    </w:p>
    <w:p w:rsidR="00271976" w:rsidRDefault="00667AF3">
      <w:pPr>
        <w:ind w:left="360"/>
        <w:jc w:val="both"/>
        <w:rPr>
          <w:rFonts w:ascii="Arial" w:hAnsi="Arial"/>
          <w:sz w:val="20"/>
        </w:rPr>
      </w:pPr>
      <w:r>
        <w:rPr>
          <w:rFonts w:ascii="Arial" w:hAnsi="Arial"/>
          <w:sz w:val="20"/>
        </w:rPr>
        <w:t>Income t</w:t>
      </w:r>
      <w:r w:rsidR="00AD7775">
        <w:rPr>
          <w:rFonts w:ascii="Arial" w:hAnsi="Arial"/>
          <w:sz w:val="20"/>
        </w:rPr>
        <w:t>ax expense</w:t>
      </w:r>
    </w:p>
    <w:p w:rsidR="00AD7775" w:rsidRDefault="00AD7775">
      <w:pPr>
        <w:ind w:left="360"/>
        <w:jc w:val="both"/>
        <w:rPr>
          <w:rFonts w:ascii="Arial" w:hAnsi="Arial"/>
          <w:sz w:val="20"/>
        </w:rPr>
      </w:pPr>
      <w:r>
        <w:rPr>
          <w:rFonts w:ascii="Arial" w:hAnsi="Arial"/>
          <w:sz w:val="20"/>
        </w:rPr>
        <w:t xml:space="preserve">- </w:t>
      </w:r>
      <w:proofErr w:type="gramStart"/>
      <w:r>
        <w:rPr>
          <w:rFonts w:ascii="Arial" w:hAnsi="Arial"/>
          <w:sz w:val="20"/>
        </w:rPr>
        <w:t>current</w:t>
      </w:r>
      <w:proofErr w:type="gramEnd"/>
      <w:r>
        <w:rPr>
          <w:rFonts w:ascii="Arial" w:hAnsi="Arial"/>
          <w:sz w:val="20"/>
        </w:rPr>
        <w:t xml:space="preserve">             </w:t>
      </w:r>
      <w:r w:rsidR="007C6B43">
        <w:rPr>
          <w:rFonts w:ascii="Arial" w:hAnsi="Arial"/>
          <w:sz w:val="20"/>
        </w:rPr>
        <w:t xml:space="preserve"> </w:t>
      </w:r>
      <w:r w:rsidR="006453E4">
        <w:rPr>
          <w:rFonts w:ascii="Arial" w:hAnsi="Arial"/>
          <w:sz w:val="20"/>
        </w:rPr>
        <w:t xml:space="preserve">                           </w:t>
      </w:r>
      <w:r w:rsidR="008042BC">
        <w:rPr>
          <w:rFonts w:ascii="Arial" w:hAnsi="Arial"/>
          <w:sz w:val="20"/>
        </w:rPr>
        <w:t xml:space="preserve"> </w:t>
      </w:r>
      <w:r w:rsidR="00647357">
        <w:rPr>
          <w:rFonts w:ascii="Arial" w:hAnsi="Arial"/>
          <w:sz w:val="20"/>
        </w:rPr>
        <w:t xml:space="preserve">  </w:t>
      </w:r>
      <w:r w:rsidR="007349DF">
        <w:rPr>
          <w:rFonts w:ascii="Arial" w:hAnsi="Arial"/>
          <w:sz w:val="20"/>
        </w:rPr>
        <w:t xml:space="preserve"> </w:t>
      </w:r>
      <w:r w:rsidR="00BA2D9B">
        <w:rPr>
          <w:rFonts w:ascii="Arial" w:hAnsi="Arial"/>
          <w:sz w:val="20"/>
        </w:rPr>
        <w:t>1,511</w:t>
      </w:r>
    </w:p>
    <w:p w:rsidR="00DF6843" w:rsidRDefault="00AD7775">
      <w:pPr>
        <w:jc w:val="both"/>
        <w:rPr>
          <w:rFonts w:ascii="Arial" w:hAnsi="Arial"/>
          <w:sz w:val="20"/>
        </w:rPr>
      </w:pPr>
      <w:r>
        <w:rPr>
          <w:rFonts w:ascii="Arial" w:hAnsi="Arial"/>
          <w:sz w:val="20"/>
        </w:rPr>
        <w:t xml:space="preserve">      -  </w:t>
      </w:r>
      <w:proofErr w:type="gramStart"/>
      <w:r>
        <w:rPr>
          <w:rFonts w:ascii="Arial" w:hAnsi="Arial"/>
          <w:sz w:val="20"/>
        </w:rPr>
        <w:t>prior</w:t>
      </w:r>
      <w:proofErr w:type="gramEnd"/>
      <w:r>
        <w:rPr>
          <w:rFonts w:ascii="Arial" w:hAnsi="Arial"/>
          <w:sz w:val="20"/>
        </w:rPr>
        <w:t xml:space="preserve"> year          </w:t>
      </w:r>
      <w:r w:rsidR="007C4859">
        <w:rPr>
          <w:rFonts w:ascii="Arial" w:hAnsi="Arial"/>
          <w:sz w:val="20"/>
        </w:rPr>
        <w:t xml:space="preserve">                      </w:t>
      </w:r>
      <w:r w:rsidR="007C6B43">
        <w:rPr>
          <w:rFonts w:ascii="Arial" w:hAnsi="Arial"/>
          <w:sz w:val="20"/>
        </w:rPr>
        <w:t xml:space="preserve">      </w:t>
      </w:r>
      <w:r w:rsidR="00647357">
        <w:rPr>
          <w:rFonts w:ascii="Arial" w:hAnsi="Arial"/>
          <w:sz w:val="20"/>
        </w:rPr>
        <w:t xml:space="preserve">  </w:t>
      </w:r>
      <w:r w:rsidR="00DA4A86">
        <w:rPr>
          <w:rFonts w:ascii="Arial" w:hAnsi="Arial"/>
          <w:sz w:val="20"/>
        </w:rPr>
        <w:t xml:space="preserve"> </w:t>
      </w:r>
      <w:r w:rsidR="00BA2D9B">
        <w:rPr>
          <w:rFonts w:ascii="Arial" w:hAnsi="Arial"/>
          <w:sz w:val="20"/>
        </w:rPr>
        <w:t xml:space="preserve"> </w:t>
      </w:r>
      <w:r w:rsidR="008042BC">
        <w:rPr>
          <w:rFonts w:ascii="Arial" w:hAnsi="Arial"/>
          <w:sz w:val="20"/>
        </w:rPr>
        <w:t xml:space="preserve">  </w:t>
      </w:r>
      <w:r w:rsidR="00BA2D9B">
        <w:rPr>
          <w:rFonts w:ascii="Arial" w:hAnsi="Arial"/>
          <w:sz w:val="20"/>
        </w:rPr>
        <w:t>(19)</w:t>
      </w:r>
    </w:p>
    <w:p w:rsidR="00A7254F" w:rsidRDefault="00AE4391" w:rsidP="007349DF">
      <w:pPr>
        <w:jc w:val="both"/>
        <w:rPr>
          <w:rFonts w:ascii="Arial" w:hAnsi="Arial"/>
          <w:sz w:val="20"/>
        </w:rPr>
      </w:pPr>
      <w:r>
        <w:rPr>
          <w:rFonts w:ascii="Arial" w:hAnsi="Arial"/>
          <w:sz w:val="20"/>
        </w:rPr>
        <w:t xml:space="preserve">   </w:t>
      </w:r>
      <w:r w:rsidR="00E852E6">
        <w:rPr>
          <w:rFonts w:ascii="Arial" w:hAnsi="Arial"/>
          <w:sz w:val="20"/>
        </w:rPr>
        <w:t xml:space="preserve">   Deferred tax-benefits from</w:t>
      </w:r>
    </w:p>
    <w:p w:rsidR="008042BC" w:rsidRDefault="00E852E6" w:rsidP="007349DF">
      <w:pPr>
        <w:jc w:val="both"/>
        <w:rPr>
          <w:rFonts w:ascii="Arial" w:hAnsi="Arial"/>
          <w:sz w:val="20"/>
        </w:rPr>
      </w:pPr>
      <w:r>
        <w:rPr>
          <w:rFonts w:ascii="Arial" w:hAnsi="Arial"/>
          <w:sz w:val="20"/>
        </w:rPr>
        <w:t xml:space="preserve">      </w:t>
      </w:r>
      <w:proofErr w:type="gramStart"/>
      <w:r>
        <w:rPr>
          <w:rFonts w:ascii="Arial" w:hAnsi="Arial"/>
          <w:sz w:val="20"/>
        </w:rPr>
        <w:t>previous</w:t>
      </w:r>
      <w:proofErr w:type="gramEnd"/>
      <w:r>
        <w:rPr>
          <w:rFonts w:ascii="Arial" w:hAnsi="Arial"/>
          <w:sz w:val="20"/>
        </w:rPr>
        <w:t xml:space="preserve"> unrecognized tax loss</w:t>
      </w:r>
      <w:r w:rsidR="00DA4A86">
        <w:rPr>
          <w:rFonts w:ascii="Arial" w:hAnsi="Arial"/>
          <w:sz w:val="20"/>
        </w:rPr>
        <w:t xml:space="preserve">      </w:t>
      </w:r>
      <w:r w:rsidR="00A44654">
        <w:rPr>
          <w:rFonts w:ascii="Arial" w:hAnsi="Arial"/>
          <w:sz w:val="20"/>
        </w:rPr>
        <w:t xml:space="preserve"> </w:t>
      </w:r>
      <w:r w:rsidR="00647357">
        <w:rPr>
          <w:rFonts w:ascii="Arial" w:hAnsi="Arial"/>
          <w:sz w:val="20"/>
        </w:rPr>
        <w:t xml:space="preserve"> </w:t>
      </w:r>
      <w:r w:rsidR="00BA2D9B">
        <w:rPr>
          <w:rFonts w:ascii="Arial" w:hAnsi="Arial"/>
          <w:sz w:val="20"/>
        </w:rPr>
        <w:t xml:space="preserve"> 1,676</w:t>
      </w:r>
    </w:p>
    <w:p w:rsidR="00AD7775" w:rsidRDefault="00E852E6" w:rsidP="00E852E6">
      <w:pPr>
        <w:jc w:val="both"/>
        <w:rPr>
          <w:rFonts w:ascii="Arial" w:hAnsi="Arial"/>
          <w:sz w:val="20"/>
        </w:rPr>
      </w:pPr>
      <w:r>
        <w:rPr>
          <w:rFonts w:ascii="Arial" w:hAnsi="Arial"/>
          <w:sz w:val="20"/>
        </w:rPr>
        <w:t xml:space="preserve">     </w:t>
      </w:r>
      <w:r w:rsidR="00AD7775">
        <w:rPr>
          <w:rFonts w:ascii="Arial" w:hAnsi="Arial"/>
          <w:sz w:val="20"/>
        </w:rPr>
        <w:t xml:space="preserve">   </w:t>
      </w:r>
    </w:p>
    <w:p w:rsidR="00AD7775" w:rsidRPr="00667AF3" w:rsidRDefault="00AD7775" w:rsidP="00AD7775">
      <w:pPr>
        <w:ind w:left="765"/>
        <w:jc w:val="both"/>
        <w:rPr>
          <w:rFonts w:ascii="Arial" w:hAnsi="Arial"/>
          <w:b/>
          <w:sz w:val="20"/>
          <w:u w:val="single"/>
        </w:rPr>
      </w:pPr>
      <w:r>
        <w:rPr>
          <w:rFonts w:ascii="Arial" w:hAnsi="Arial"/>
          <w:sz w:val="20"/>
        </w:rPr>
        <w:t xml:space="preserve">                                         </w:t>
      </w:r>
      <w:r w:rsidR="00667AF3">
        <w:rPr>
          <w:rFonts w:ascii="Arial" w:hAnsi="Arial"/>
          <w:sz w:val="20"/>
        </w:rPr>
        <w:t>___________</w:t>
      </w:r>
    </w:p>
    <w:p w:rsidR="00AD7775" w:rsidRDefault="00AD7775" w:rsidP="00AD7775">
      <w:pPr>
        <w:jc w:val="both"/>
        <w:rPr>
          <w:rFonts w:ascii="Arial" w:hAnsi="Arial"/>
          <w:sz w:val="20"/>
        </w:rPr>
      </w:pPr>
      <w:r>
        <w:rPr>
          <w:rFonts w:ascii="Arial" w:hAnsi="Arial"/>
          <w:sz w:val="20"/>
        </w:rPr>
        <w:t xml:space="preserve">      Income tax recognized in </w:t>
      </w:r>
    </w:p>
    <w:p w:rsidR="00AD7775" w:rsidRPr="00667AF3" w:rsidRDefault="00AE4391" w:rsidP="00AD7775">
      <w:pPr>
        <w:jc w:val="both"/>
        <w:rPr>
          <w:rFonts w:ascii="Arial" w:hAnsi="Arial"/>
          <w:b/>
          <w:sz w:val="20"/>
        </w:rPr>
      </w:pPr>
      <w:r>
        <w:rPr>
          <w:rFonts w:ascii="Arial" w:hAnsi="Arial"/>
          <w:sz w:val="20"/>
        </w:rPr>
        <w:t xml:space="preserve">      Profit and Lo</w:t>
      </w:r>
      <w:r w:rsidR="00AD7775">
        <w:rPr>
          <w:rFonts w:ascii="Arial" w:hAnsi="Arial"/>
          <w:sz w:val="20"/>
        </w:rPr>
        <w:t xml:space="preserve">ss    </w:t>
      </w:r>
      <w:r w:rsidR="006453E4">
        <w:rPr>
          <w:rFonts w:ascii="Arial" w:hAnsi="Arial"/>
          <w:sz w:val="20"/>
        </w:rPr>
        <w:t xml:space="preserve">                          </w:t>
      </w:r>
      <w:r w:rsidR="00252D3C">
        <w:rPr>
          <w:rFonts w:ascii="Arial" w:hAnsi="Arial"/>
          <w:sz w:val="20"/>
        </w:rPr>
        <w:t xml:space="preserve"> </w:t>
      </w:r>
      <w:r w:rsidR="001C15A2">
        <w:rPr>
          <w:rFonts w:ascii="Arial" w:hAnsi="Arial"/>
          <w:sz w:val="20"/>
        </w:rPr>
        <w:t xml:space="preserve"> </w:t>
      </w:r>
      <w:r w:rsidR="007349DF">
        <w:rPr>
          <w:rFonts w:ascii="Arial" w:hAnsi="Arial"/>
          <w:b/>
          <w:sz w:val="20"/>
        </w:rPr>
        <w:t xml:space="preserve">  </w:t>
      </w:r>
      <w:r w:rsidR="003B7C33">
        <w:rPr>
          <w:rFonts w:ascii="Arial" w:hAnsi="Arial"/>
          <w:b/>
          <w:sz w:val="20"/>
        </w:rPr>
        <w:t>3,168</w:t>
      </w:r>
    </w:p>
    <w:p w:rsidR="00AD7775" w:rsidRDefault="00667AF3">
      <w:pPr>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____________</w:t>
      </w:r>
    </w:p>
    <w:p w:rsidR="00667AF3" w:rsidRDefault="00667AF3">
      <w:pPr>
        <w:jc w:val="both"/>
        <w:rPr>
          <w:rFonts w:ascii="Arial" w:hAnsi="Arial"/>
          <w:sz w:val="20"/>
        </w:rPr>
      </w:pPr>
    </w:p>
    <w:p w:rsidR="00B55AAB" w:rsidRDefault="00B55AAB">
      <w:pPr>
        <w:jc w:val="both"/>
        <w:rPr>
          <w:rFonts w:ascii="Arial" w:hAnsi="Arial"/>
          <w:sz w:val="20"/>
        </w:rPr>
      </w:pPr>
    </w:p>
    <w:p w:rsidR="00DF6843" w:rsidRDefault="00DF6843" w:rsidP="0084753D">
      <w:pPr>
        <w:numPr>
          <w:ilvl w:val="0"/>
          <w:numId w:val="2"/>
        </w:numPr>
        <w:tabs>
          <w:tab w:val="clear" w:pos="720"/>
          <w:tab w:val="num" w:pos="360"/>
        </w:tabs>
        <w:ind w:left="360"/>
        <w:jc w:val="both"/>
        <w:rPr>
          <w:rFonts w:ascii="Arial" w:hAnsi="Arial"/>
          <w:sz w:val="20"/>
          <w:u w:val="single"/>
        </w:rPr>
      </w:pPr>
      <w:r>
        <w:rPr>
          <w:rFonts w:ascii="Arial" w:hAnsi="Arial"/>
          <w:sz w:val="20"/>
          <w:u w:val="single"/>
        </w:rPr>
        <w:t>Unquoted investments and/or properties</w:t>
      </w:r>
    </w:p>
    <w:p w:rsidR="00DF6843" w:rsidRDefault="00DF6843">
      <w:pPr>
        <w:jc w:val="both"/>
        <w:rPr>
          <w:rFonts w:ascii="Arial" w:hAnsi="Arial"/>
          <w:sz w:val="20"/>
        </w:rPr>
      </w:pPr>
    </w:p>
    <w:p w:rsidR="007C6B43" w:rsidRDefault="00DF6843" w:rsidP="007C6B43">
      <w:pPr>
        <w:ind w:left="360"/>
        <w:jc w:val="both"/>
        <w:rPr>
          <w:rFonts w:ascii="Arial" w:hAnsi="Arial"/>
          <w:sz w:val="20"/>
        </w:rPr>
      </w:pPr>
      <w:r>
        <w:rPr>
          <w:rFonts w:ascii="Arial" w:hAnsi="Arial"/>
          <w:sz w:val="20"/>
        </w:rPr>
        <w:t>There were no disposals of un</w:t>
      </w:r>
      <w:r w:rsidR="000B5AB9">
        <w:rPr>
          <w:rFonts w:ascii="Arial" w:hAnsi="Arial"/>
          <w:sz w:val="20"/>
        </w:rPr>
        <w:t xml:space="preserve">quoted </w:t>
      </w:r>
      <w:proofErr w:type="gramStart"/>
      <w:r w:rsidR="000B5AB9">
        <w:rPr>
          <w:rFonts w:ascii="Arial" w:hAnsi="Arial"/>
          <w:sz w:val="20"/>
        </w:rPr>
        <w:t xml:space="preserve">investments </w:t>
      </w:r>
      <w:r>
        <w:rPr>
          <w:rFonts w:ascii="Arial" w:hAnsi="Arial"/>
          <w:sz w:val="20"/>
        </w:rPr>
        <w:t xml:space="preserve"> for</w:t>
      </w:r>
      <w:proofErr w:type="gramEnd"/>
      <w:r>
        <w:rPr>
          <w:rFonts w:ascii="Arial" w:hAnsi="Arial"/>
          <w:sz w:val="20"/>
        </w:rPr>
        <w:t xml:space="preserve"> the quarter under review.  </w:t>
      </w:r>
    </w:p>
    <w:p w:rsidR="0084753D" w:rsidRDefault="0084753D" w:rsidP="007C6B43">
      <w:pPr>
        <w:ind w:left="360"/>
        <w:jc w:val="both"/>
        <w:rPr>
          <w:rFonts w:ascii="Arial" w:hAnsi="Arial"/>
          <w:sz w:val="20"/>
        </w:rPr>
      </w:pPr>
    </w:p>
    <w:p w:rsidR="0084753D" w:rsidRDefault="0084753D" w:rsidP="007C6B43">
      <w:pPr>
        <w:ind w:left="360"/>
        <w:jc w:val="both"/>
        <w:rPr>
          <w:rFonts w:ascii="Arial" w:hAnsi="Arial"/>
          <w:sz w:val="20"/>
        </w:rPr>
      </w:pPr>
    </w:p>
    <w:p w:rsidR="0084753D" w:rsidRDefault="0084753D" w:rsidP="007C6B43">
      <w:pPr>
        <w:ind w:left="360"/>
        <w:jc w:val="both"/>
        <w:rPr>
          <w:rFonts w:ascii="Arial" w:hAnsi="Arial"/>
          <w:sz w:val="20"/>
        </w:rPr>
      </w:pPr>
    </w:p>
    <w:p w:rsidR="00827C13" w:rsidRPr="0084753D" w:rsidRDefault="00827C13" w:rsidP="0084753D">
      <w:pPr>
        <w:jc w:val="both"/>
        <w:rPr>
          <w:rFonts w:ascii="Arial" w:hAnsi="Arial"/>
          <w:sz w:val="20"/>
        </w:rPr>
      </w:pPr>
    </w:p>
    <w:p w:rsidR="00827C13" w:rsidRDefault="00827C13">
      <w:pPr>
        <w:ind w:left="360"/>
        <w:jc w:val="both"/>
        <w:rPr>
          <w:rFonts w:ascii="Arial" w:hAnsi="Arial"/>
          <w:sz w:val="20"/>
        </w:rPr>
      </w:pPr>
    </w:p>
    <w:p w:rsidR="00F066B2" w:rsidRDefault="00827C13" w:rsidP="00F066B2">
      <w:pPr>
        <w:jc w:val="both"/>
        <w:rPr>
          <w:rFonts w:ascii="Arial" w:hAnsi="Arial"/>
          <w:b/>
          <w:sz w:val="20"/>
        </w:rPr>
      </w:pPr>
      <w:r w:rsidRPr="00647357">
        <w:rPr>
          <w:rFonts w:ascii="Arial" w:hAnsi="Arial"/>
          <w:b/>
          <w:sz w:val="20"/>
        </w:rPr>
        <w:t>Additional information required by the Main Market’s Listing Requirement (Cont’d)</w:t>
      </w:r>
    </w:p>
    <w:p w:rsidR="0084753D" w:rsidRDefault="0084753D" w:rsidP="00F066B2">
      <w:pPr>
        <w:jc w:val="both"/>
        <w:rPr>
          <w:rFonts w:ascii="Arial" w:hAnsi="Arial"/>
          <w:b/>
          <w:sz w:val="20"/>
        </w:rPr>
      </w:pPr>
    </w:p>
    <w:p w:rsidR="00F066B2" w:rsidRDefault="00F066B2" w:rsidP="00F066B2">
      <w:pPr>
        <w:jc w:val="both"/>
        <w:rPr>
          <w:u w:val="single"/>
        </w:rPr>
      </w:pPr>
    </w:p>
    <w:p w:rsidR="00F066B2" w:rsidRPr="0084753D" w:rsidRDefault="00F066B2" w:rsidP="0084753D">
      <w:pPr>
        <w:pStyle w:val="ListParagraph"/>
        <w:numPr>
          <w:ilvl w:val="0"/>
          <w:numId w:val="2"/>
        </w:numPr>
        <w:jc w:val="both"/>
      </w:pPr>
      <w:r w:rsidRPr="0084753D">
        <w:rPr>
          <w:u w:val="single"/>
        </w:rPr>
        <w:t>Quoted Investments</w:t>
      </w:r>
      <w:r w:rsidRPr="0084753D">
        <w:t xml:space="preserve"> </w:t>
      </w:r>
    </w:p>
    <w:p w:rsidR="00F066B2" w:rsidRDefault="00F066B2" w:rsidP="00F066B2">
      <w:pPr>
        <w:ind w:left="360"/>
        <w:jc w:val="both"/>
      </w:pPr>
    </w:p>
    <w:p w:rsidR="00F066B2" w:rsidRDefault="00DF6843" w:rsidP="00F066B2">
      <w:pPr>
        <w:ind w:left="360"/>
        <w:jc w:val="both"/>
      </w:pPr>
      <w:r>
        <w:t xml:space="preserve">There were no investments in quoted securities as at </w:t>
      </w:r>
      <w:r w:rsidR="00A44654">
        <w:t>the end of the reporting period</w:t>
      </w:r>
    </w:p>
    <w:p w:rsidR="00F066B2" w:rsidRDefault="00F066B2" w:rsidP="00F066B2">
      <w:pPr>
        <w:ind w:left="360"/>
        <w:jc w:val="both"/>
      </w:pPr>
    </w:p>
    <w:p w:rsidR="000B5AB9" w:rsidRDefault="000B5AB9" w:rsidP="00F066B2">
      <w:pPr>
        <w:jc w:val="both"/>
        <w:rPr>
          <w:rFonts w:ascii="Arial" w:hAnsi="Arial"/>
          <w:sz w:val="20"/>
          <w:u w:val="single"/>
        </w:rPr>
      </w:pPr>
    </w:p>
    <w:p w:rsidR="000B5AB9" w:rsidRDefault="000B5AB9">
      <w:pPr>
        <w:ind w:left="360"/>
        <w:jc w:val="both"/>
        <w:rPr>
          <w:rFonts w:ascii="Arial" w:hAnsi="Arial"/>
          <w:sz w:val="20"/>
          <w:u w:val="single"/>
        </w:rPr>
      </w:pPr>
    </w:p>
    <w:p w:rsidR="00DF6843" w:rsidRPr="0084753D" w:rsidRDefault="00DF6843" w:rsidP="00562977">
      <w:pPr>
        <w:pStyle w:val="ListParagraph"/>
        <w:numPr>
          <w:ilvl w:val="0"/>
          <w:numId w:val="2"/>
        </w:numPr>
        <w:rPr>
          <w:rFonts w:ascii="Arial" w:hAnsi="Arial"/>
          <w:sz w:val="20"/>
          <w:u w:val="single"/>
        </w:rPr>
      </w:pPr>
      <w:r w:rsidRPr="0084753D">
        <w:rPr>
          <w:rFonts w:ascii="Arial" w:hAnsi="Arial"/>
          <w:sz w:val="20"/>
          <w:u w:val="single"/>
        </w:rPr>
        <w:t>Status of corporate proposals announced</w:t>
      </w:r>
    </w:p>
    <w:p w:rsidR="00DF6843" w:rsidRDefault="00DF6843">
      <w:pPr>
        <w:jc w:val="both"/>
        <w:rPr>
          <w:rFonts w:ascii="Arial" w:hAnsi="Arial"/>
          <w:sz w:val="20"/>
          <w:u w:val="single"/>
        </w:rPr>
      </w:pPr>
    </w:p>
    <w:p w:rsidR="00DF6843" w:rsidRDefault="00DF6843" w:rsidP="002C0217">
      <w:pPr>
        <w:numPr>
          <w:ilvl w:val="1"/>
          <w:numId w:val="4"/>
        </w:numPr>
        <w:ind w:left="720"/>
        <w:jc w:val="both"/>
        <w:rPr>
          <w:rFonts w:ascii="Arial" w:hAnsi="Arial"/>
          <w:sz w:val="20"/>
        </w:rPr>
      </w:pPr>
      <w:r>
        <w:rPr>
          <w:rFonts w:ascii="Arial" w:hAnsi="Arial"/>
          <w:sz w:val="20"/>
        </w:rPr>
        <w:t>There were no major corporate proposals announced during the reporting period to date.</w:t>
      </w:r>
    </w:p>
    <w:p w:rsidR="00667AF3" w:rsidRDefault="00667AF3" w:rsidP="00667AF3">
      <w:pPr>
        <w:jc w:val="both"/>
        <w:rPr>
          <w:rFonts w:ascii="Arial" w:hAnsi="Arial"/>
          <w:sz w:val="20"/>
        </w:rPr>
      </w:pPr>
    </w:p>
    <w:p w:rsidR="00667AF3" w:rsidRDefault="00667AF3" w:rsidP="002C0217">
      <w:pPr>
        <w:numPr>
          <w:ilvl w:val="1"/>
          <w:numId w:val="4"/>
        </w:numPr>
        <w:ind w:left="720"/>
        <w:jc w:val="both"/>
        <w:rPr>
          <w:rFonts w:ascii="Arial" w:hAnsi="Arial"/>
          <w:sz w:val="20"/>
        </w:rPr>
      </w:pPr>
      <w:r>
        <w:rPr>
          <w:rFonts w:ascii="Arial" w:hAnsi="Arial"/>
          <w:sz w:val="20"/>
        </w:rPr>
        <w:t>The status of utilization of proceeds from any corporate proposal.</w:t>
      </w:r>
    </w:p>
    <w:p w:rsidR="00B55AAB" w:rsidRDefault="00B55AAB" w:rsidP="00B55AAB">
      <w:pPr>
        <w:ind w:left="720"/>
        <w:jc w:val="both"/>
        <w:rPr>
          <w:rFonts w:ascii="Arial" w:hAnsi="Arial"/>
          <w:sz w:val="20"/>
        </w:rPr>
      </w:pPr>
    </w:p>
    <w:p w:rsidR="00DF6843" w:rsidRDefault="00B55AAB" w:rsidP="00B55AAB">
      <w:pPr>
        <w:ind w:left="720"/>
        <w:jc w:val="both"/>
        <w:rPr>
          <w:rFonts w:ascii="Arial" w:hAnsi="Arial"/>
          <w:sz w:val="20"/>
        </w:rPr>
      </w:pPr>
      <w:r>
        <w:rPr>
          <w:rFonts w:ascii="Arial" w:hAnsi="Arial"/>
          <w:sz w:val="20"/>
        </w:rPr>
        <w:t>This is not applicable.</w:t>
      </w:r>
    </w:p>
    <w:p w:rsidR="007C6B43" w:rsidRDefault="007C6B43">
      <w:pPr>
        <w:jc w:val="both"/>
        <w:rPr>
          <w:rFonts w:ascii="Arial" w:hAnsi="Arial"/>
          <w:sz w:val="20"/>
        </w:rPr>
      </w:pPr>
    </w:p>
    <w:p w:rsidR="00B55AAB" w:rsidRDefault="00B55AAB">
      <w:pPr>
        <w:jc w:val="both"/>
        <w:rPr>
          <w:rFonts w:ascii="Arial" w:hAnsi="Arial"/>
          <w:sz w:val="20"/>
        </w:rPr>
      </w:pPr>
    </w:p>
    <w:p w:rsidR="00DF6843" w:rsidRDefault="00DF6843" w:rsidP="00562977">
      <w:pPr>
        <w:numPr>
          <w:ilvl w:val="0"/>
          <w:numId w:val="2"/>
        </w:numPr>
        <w:jc w:val="both"/>
        <w:rPr>
          <w:rFonts w:ascii="Arial" w:hAnsi="Arial"/>
          <w:sz w:val="20"/>
          <w:u w:val="single"/>
        </w:rPr>
      </w:pPr>
      <w:r>
        <w:rPr>
          <w:rFonts w:ascii="Arial" w:hAnsi="Arial"/>
          <w:sz w:val="20"/>
          <w:u w:val="single"/>
        </w:rPr>
        <w:t>Borrowings and debt securities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Group borrowings and debt securities as at the end of the reporting period:-</w:t>
      </w:r>
    </w:p>
    <w:p w:rsidR="00DF6843" w:rsidRDefault="00DF6843">
      <w:pPr>
        <w:ind w:left="360"/>
        <w:jc w:val="both"/>
        <w:rPr>
          <w:rFonts w:ascii="Arial" w:hAnsi="Arial"/>
          <w:sz w:val="20"/>
        </w:rPr>
      </w:pPr>
    </w:p>
    <w:p w:rsidR="00DF6843" w:rsidRDefault="00DF6843">
      <w:pPr>
        <w:pStyle w:val="Heading6"/>
      </w:pPr>
      <w:r>
        <w:t>Short Term Borrowings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20"/>
      </w:tblGrid>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DF6843" w:rsidRPr="00B55AAB" w:rsidRDefault="00DF6843" w:rsidP="00B55AAB">
            <w:pPr>
              <w:pStyle w:val="Heading4"/>
              <w:jc w:val="right"/>
              <w:rPr>
                <w:b/>
              </w:rPr>
            </w:pPr>
            <w:r w:rsidRPr="00B55AAB">
              <w:rPr>
                <w:b/>
              </w:rPr>
              <w:t>RM’000</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p w:rsidR="00DF6843" w:rsidRDefault="00DF6843">
            <w:pPr>
              <w:pStyle w:val="Heading7"/>
            </w:pPr>
            <w:r>
              <w:t>Secured</w:t>
            </w:r>
          </w:p>
          <w:p w:rsidR="00DF6843" w:rsidRDefault="00DF6843">
            <w:pPr>
              <w:jc w:val="both"/>
              <w:rPr>
                <w:rFonts w:ascii="Arial" w:hAnsi="Arial"/>
                <w:sz w:val="20"/>
              </w:rPr>
            </w:pPr>
            <w:r>
              <w:rPr>
                <w:rFonts w:ascii="Arial" w:hAnsi="Arial"/>
                <w:sz w:val="20"/>
              </w:rPr>
              <w:t>Bank overdrafts/ Bankers’ Acceptances</w:t>
            </w:r>
          </w:p>
          <w:p w:rsidR="00DF6843" w:rsidRDefault="00DF6843">
            <w:pPr>
              <w:jc w:val="both"/>
              <w:rPr>
                <w:rFonts w:ascii="Arial" w:hAnsi="Arial"/>
                <w:sz w:val="20"/>
              </w:rPr>
            </w:pPr>
            <w:r>
              <w:rPr>
                <w:rFonts w:ascii="Arial" w:hAnsi="Arial"/>
                <w:sz w:val="20"/>
              </w:rPr>
              <w:t>Term loan</w:t>
            </w:r>
          </w:p>
        </w:tc>
        <w:tc>
          <w:tcPr>
            <w:tcW w:w="1620" w:type="dxa"/>
            <w:tcBorders>
              <w:top w:val="nil"/>
              <w:left w:val="single" w:sz="4" w:space="0" w:color="auto"/>
              <w:bottom w:val="nil"/>
              <w:right w:val="single" w:sz="4" w:space="0" w:color="auto"/>
            </w:tcBorders>
          </w:tcPr>
          <w:p w:rsidR="00DF6843" w:rsidRDefault="00DF6843">
            <w:pPr>
              <w:jc w:val="right"/>
              <w:rPr>
                <w:rFonts w:ascii="Arial" w:hAnsi="Arial"/>
                <w:sz w:val="20"/>
              </w:rPr>
            </w:pPr>
          </w:p>
          <w:p w:rsidR="00DF6843" w:rsidRDefault="00DF6843">
            <w:pPr>
              <w:jc w:val="right"/>
              <w:rPr>
                <w:rFonts w:ascii="Arial" w:hAnsi="Arial"/>
                <w:sz w:val="20"/>
              </w:rPr>
            </w:pPr>
            <w:r>
              <w:rPr>
                <w:rFonts w:ascii="Arial" w:hAnsi="Arial"/>
                <w:sz w:val="20"/>
              </w:rPr>
              <w:t xml:space="preserve"> </w:t>
            </w:r>
          </w:p>
          <w:p w:rsidR="00DF6843" w:rsidRDefault="003B7C33">
            <w:pPr>
              <w:jc w:val="right"/>
              <w:rPr>
                <w:rFonts w:ascii="Arial" w:hAnsi="Arial"/>
                <w:sz w:val="20"/>
              </w:rPr>
            </w:pPr>
            <w:r>
              <w:rPr>
                <w:rFonts w:ascii="Arial" w:hAnsi="Arial"/>
                <w:sz w:val="20"/>
              </w:rPr>
              <w:t>77,755</w:t>
            </w:r>
          </w:p>
          <w:p w:rsidR="00DF6843" w:rsidRDefault="005D02FB">
            <w:pPr>
              <w:jc w:val="right"/>
              <w:rPr>
                <w:rFonts w:ascii="Arial" w:hAnsi="Arial"/>
                <w:sz w:val="20"/>
              </w:rPr>
            </w:pPr>
            <w:r>
              <w:rPr>
                <w:rFonts w:ascii="Arial" w:hAnsi="Arial"/>
                <w:sz w:val="20"/>
              </w:rPr>
              <w:t>1,6</w:t>
            </w:r>
            <w:r w:rsidR="006F304E">
              <w:rPr>
                <w:rFonts w:ascii="Arial" w:hAnsi="Arial"/>
                <w:sz w:val="20"/>
              </w:rPr>
              <w:t>86</w:t>
            </w:r>
          </w:p>
        </w:tc>
      </w:tr>
      <w:tr w:rsidR="00252D3C">
        <w:tc>
          <w:tcPr>
            <w:tcW w:w="5508" w:type="dxa"/>
            <w:tcBorders>
              <w:top w:val="nil"/>
              <w:left w:val="nil"/>
              <w:bottom w:val="nil"/>
              <w:right w:val="single" w:sz="4" w:space="0" w:color="auto"/>
            </w:tcBorders>
          </w:tcPr>
          <w:p w:rsidR="00252D3C" w:rsidRDefault="00252D3C" w:rsidP="009A7E83">
            <w:pPr>
              <w:jc w:val="both"/>
              <w:rPr>
                <w:rFonts w:ascii="Arial" w:hAnsi="Arial"/>
                <w:sz w:val="20"/>
              </w:rPr>
            </w:pPr>
            <w:r>
              <w:rPr>
                <w:rFonts w:ascii="Arial" w:hAnsi="Arial"/>
                <w:sz w:val="20"/>
              </w:rPr>
              <w:t xml:space="preserve">Financial Liabilities at </w:t>
            </w:r>
            <w:proofErr w:type="spellStart"/>
            <w:r>
              <w:rPr>
                <w:rFonts w:ascii="Arial" w:hAnsi="Arial"/>
                <w:sz w:val="20"/>
              </w:rPr>
              <w:t>amortised</w:t>
            </w:r>
            <w:proofErr w:type="spellEnd"/>
            <w:r>
              <w:rPr>
                <w:rFonts w:ascii="Arial" w:hAnsi="Arial"/>
                <w:sz w:val="20"/>
              </w:rPr>
              <w:t xml:space="preserve"> cost</w:t>
            </w:r>
          </w:p>
        </w:tc>
        <w:tc>
          <w:tcPr>
            <w:tcW w:w="1620" w:type="dxa"/>
            <w:tcBorders>
              <w:top w:val="nil"/>
              <w:left w:val="single" w:sz="4" w:space="0" w:color="auto"/>
              <w:right w:val="single" w:sz="4" w:space="0" w:color="auto"/>
            </w:tcBorders>
          </w:tcPr>
          <w:p w:rsidR="00252D3C" w:rsidRDefault="003B7C33">
            <w:pPr>
              <w:jc w:val="right"/>
              <w:rPr>
                <w:rFonts w:ascii="Arial" w:hAnsi="Arial"/>
                <w:sz w:val="20"/>
              </w:rPr>
            </w:pPr>
            <w:r>
              <w:rPr>
                <w:rFonts w:ascii="Arial" w:hAnsi="Arial"/>
                <w:sz w:val="20"/>
              </w:rPr>
              <w:t>763</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 xml:space="preserve"> </w:t>
            </w:r>
          </w:p>
        </w:tc>
        <w:tc>
          <w:tcPr>
            <w:tcW w:w="1620" w:type="dxa"/>
            <w:tcBorders>
              <w:left w:val="single" w:sz="4" w:space="0" w:color="auto"/>
              <w:bottom w:val="single" w:sz="4" w:space="0" w:color="auto"/>
              <w:right w:val="single" w:sz="4" w:space="0" w:color="auto"/>
            </w:tcBorders>
          </w:tcPr>
          <w:p w:rsidR="00DF6843" w:rsidRDefault="003B7C33">
            <w:pPr>
              <w:jc w:val="right"/>
              <w:rPr>
                <w:rFonts w:ascii="Arial" w:hAnsi="Arial"/>
                <w:sz w:val="20"/>
              </w:rPr>
            </w:pPr>
            <w:r>
              <w:rPr>
                <w:rFonts w:ascii="Arial" w:hAnsi="Arial"/>
                <w:sz w:val="20"/>
              </w:rPr>
              <w:t>80,204</w:t>
            </w:r>
          </w:p>
        </w:tc>
      </w:tr>
    </w:tbl>
    <w:p w:rsidR="00AE4391" w:rsidRPr="00D0391B" w:rsidRDefault="00AE4391" w:rsidP="00D0391B">
      <w:pPr>
        <w:jc w:val="both"/>
        <w:rPr>
          <w:rFonts w:ascii="Arial" w:hAnsi="Arial"/>
          <w:b/>
          <w:sz w:val="20"/>
        </w:rPr>
      </w:pPr>
    </w:p>
    <w:p w:rsidR="00B55AAB" w:rsidRDefault="00B55AAB" w:rsidP="00B55AAB">
      <w:pPr>
        <w:jc w:val="both"/>
        <w:rPr>
          <w:rFonts w:ascii="Arial" w:hAnsi="Arial"/>
          <w:b/>
          <w:sz w:val="20"/>
        </w:rPr>
      </w:pPr>
    </w:p>
    <w:p w:rsidR="00AE4391" w:rsidRDefault="00AE4391" w:rsidP="00B55AAB">
      <w:pPr>
        <w:jc w:val="both"/>
        <w:rPr>
          <w:rFonts w:ascii="Arial" w:hAnsi="Arial"/>
          <w:b/>
          <w:sz w:val="20"/>
        </w:rPr>
      </w:pPr>
    </w:p>
    <w:p w:rsidR="00DF6843" w:rsidRDefault="00DF6843">
      <w:pPr>
        <w:pStyle w:val="Heading6"/>
      </w:pPr>
      <w:r>
        <w:t>Long Term Borrowings</w:t>
      </w:r>
    </w:p>
    <w:p w:rsidR="00DF6843" w:rsidRDefault="00DF6843">
      <w:pPr>
        <w:ind w:left="360"/>
        <w:jc w:val="both"/>
        <w:rPr>
          <w:rFonts w:ascii="Arial" w:hAnsi="Arial"/>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20"/>
      </w:tblGrid>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DF6843" w:rsidRPr="00B55AAB" w:rsidRDefault="00DF6843" w:rsidP="00B55AAB">
            <w:pPr>
              <w:pStyle w:val="Heading4"/>
              <w:jc w:val="right"/>
              <w:rPr>
                <w:b/>
              </w:rPr>
            </w:pPr>
            <w:r w:rsidRPr="00B55AAB">
              <w:rPr>
                <w:b/>
              </w:rPr>
              <w:t>RM’000</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p w:rsidR="00DF6843" w:rsidRDefault="00DF6843">
            <w:pPr>
              <w:pStyle w:val="Heading7"/>
            </w:pPr>
            <w:r>
              <w:t>Secured</w:t>
            </w:r>
          </w:p>
          <w:p w:rsidR="00DF6843" w:rsidRDefault="00DF6843">
            <w:pPr>
              <w:jc w:val="both"/>
              <w:rPr>
                <w:rFonts w:ascii="Arial" w:hAnsi="Arial"/>
                <w:sz w:val="20"/>
              </w:rPr>
            </w:pPr>
            <w:r>
              <w:rPr>
                <w:rFonts w:ascii="Arial" w:hAnsi="Arial"/>
                <w:sz w:val="20"/>
              </w:rPr>
              <w:t xml:space="preserve">Term loan </w:t>
            </w:r>
          </w:p>
        </w:tc>
        <w:tc>
          <w:tcPr>
            <w:tcW w:w="1620" w:type="dxa"/>
            <w:tcBorders>
              <w:top w:val="nil"/>
              <w:left w:val="single" w:sz="4" w:space="0" w:color="auto"/>
              <w:bottom w:val="nil"/>
              <w:right w:val="single" w:sz="4" w:space="0" w:color="auto"/>
            </w:tcBorders>
          </w:tcPr>
          <w:p w:rsidR="00DF6843" w:rsidRDefault="00DF6843">
            <w:pPr>
              <w:jc w:val="right"/>
              <w:rPr>
                <w:rFonts w:ascii="Arial" w:hAnsi="Arial"/>
                <w:sz w:val="20"/>
              </w:rPr>
            </w:pPr>
          </w:p>
          <w:p w:rsidR="00DF6843" w:rsidRDefault="00DF6843">
            <w:pPr>
              <w:jc w:val="right"/>
              <w:rPr>
                <w:rFonts w:ascii="Arial" w:hAnsi="Arial"/>
                <w:sz w:val="20"/>
              </w:rPr>
            </w:pPr>
          </w:p>
          <w:p w:rsidR="00DF6843" w:rsidRDefault="003B7C33">
            <w:pPr>
              <w:jc w:val="right"/>
              <w:rPr>
                <w:rFonts w:ascii="Arial" w:hAnsi="Arial"/>
                <w:sz w:val="20"/>
              </w:rPr>
            </w:pPr>
            <w:r>
              <w:rPr>
                <w:rFonts w:ascii="Arial" w:hAnsi="Arial"/>
                <w:sz w:val="20"/>
              </w:rPr>
              <w:t>9,722</w:t>
            </w:r>
          </w:p>
        </w:tc>
      </w:tr>
      <w:tr w:rsidR="00DF6843">
        <w:tc>
          <w:tcPr>
            <w:tcW w:w="5508" w:type="dxa"/>
            <w:tcBorders>
              <w:top w:val="nil"/>
              <w:left w:val="nil"/>
              <w:bottom w:val="nil"/>
              <w:right w:val="single" w:sz="4" w:space="0" w:color="auto"/>
            </w:tcBorders>
          </w:tcPr>
          <w:p w:rsidR="00DF6843" w:rsidRDefault="00252D3C">
            <w:pPr>
              <w:jc w:val="both"/>
              <w:rPr>
                <w:rFonts w:ascii="Arial" w:hAnsi="Arial"/>
                <w:sz w:val="20"/>
              </w:rPr>
            </w:pPr>
            <w:r>
              <w:rPr>
                <w:rFonts w:ascii="Arial" w:hAnsi="Arial"/>
                <w:sz w:val="20"/>
              </w:rPr>
              <w:t xml:space="preserve">Financial Liabilities at </w:t>
            </w:r>
            <w:proofErr w:type="spellStart"/>
            <w:r>
              <w:rPr>
                <w:rFonts w:ascii="Arial" w:hAnsi="Arial"/>
                <w:sz w:val="20"/>
              </w:rPr>
              <w:t>amortised</w:t>
            </w:r>
            <w:proofErr w:type="spellEnd"/>
            <w:r>
              <w:rPr>
                <w:rFonts w:ascii="Arial" w:hAnsi="Arial"/>
                <w:sz w:val="20"/>
              </w:rPr>
              <w:t xml:space="preserve"> cost</w:t>
            </w:r>
          </w:p>
        </w:tc>
        <w:tc>
          <w:tcPr>
            <w:tcW w:w="1620" w:type="dxa"/>
            <w:tcBorders>
              <w:top w:val="nil"/>
              <w:left w:val="single" w:sz="4" w:space="0" w:color="auto"/>
              <w:bottom w:val="single" w:sz="4" w:space="0" w:color="auto"/>
              <w:right w:val="single" w:sz="4" w:space="0" w:color="auto"/>
            </w:tcBorders>
          </w:tcPr>
          <w:p w:rsidR="00DF6843" w:rsidRDefault="003B7C33">
            <w:pPr>
              <w:jc w:val="right"/>
              <w:rPr>
                <w:rFonts w:ascii="Arial" w:hAnsi="Arial"/>
                <w:sz w:val="20"/>
              </w:rPr>
            </w:pPr>
            <w:r>
              <w:rPr>
                <w:rFonts w:ascii="Arial" w:hAnsi="Arial"/>
                <w:sz w:val="20"/>
              </w:rPr>
              <w:t>763</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 xml:space="preserve"> </w:t>
            </w:r>
          </w:p>
        </w:tc>
        <w:tc>
          <w:tcPr>
            <w:tcW w:w="1620" w:type="dxa"/>
            <w:tcBorders>
              <w:left w:val="single" w:sz="4" w:space="0" w:color="auto"/>
              <w:bottom w:val="single" w:sz="4" w:space="0" w:color="auto"/>
              <w:right w:val="single" w:sz="4" w:space="0" w:color="auto"/>
            </w:tcBorders>
          </w:tcPr>
          <w:p w:rsidR="00DF6843" w:rsidRDefault="005D02FB">
            <w:pPr>
              <w:jc w:val="right"/>
              <w:rPr>
                <w:rFonts w:ascii="Arial" w:hAnsi="Arial"/>
                <w:sz w:val="20"/>
              </w:rPr>
            </w:pPr>
            <w:r>
              <w:rPr>
                <w:rFonts w:ascii="Arial" w:hAnsi="Arial"/>
                <w:sz w:val="20"/>
              </w:rPr>
              <w:t>1</w:t>
            </w:r>
            <w:r w:rsidR="003B7C33">
              <w:rPr>
                <w:rFonts w:ascii="Arial" w:hAnsi="Arial"/>
                <w:sz w:val="20"/>
              </w:rPr>
              <w:t>0,485</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nil"/>
              <w:right w:val="single" w:sz="4" w:space="0" w:color="auto"/>
            </w:tcBorders>
          </w:tcPr>
          <w:p w:rsidR="00DF6843" w:rsidRDefault="00DF6843">
            <w:pPr>
              <w:jc w:val="right"/>
              <w:rPr>
                <w:rFonts w:ascii="Arial" w:hAnsi="Arial"/>
                <w:sz w:val="20"/>
              </w:rPr>
            </w:pPr>
          </w:p>
        </w:tc>
      </w:tr>
      <w:tr w:rsidR="00DF6843">
        <w:tc>
          <w:tcPr>
            <w:tcW w:w="5508" w:type="dxa"/>
            <w:tcBorders>
              <w:top w:val="nil"/>
              <w:left w:val="nil"/>
              <w:bottom w:val="nil"/>
              <w:right w:val="single" w:sz="4" w:space="0" w:color="auto"/>
            </w:tcBorders>
          </w:tcPr>
          <w:p w:rsidR="00DF6843" w:rsidRDefault="00DF6843">
            <w:pPr>
              <w:pStyle w:val="Heading1"/>
            </w:pPr>
            <w:r>
              <w:t>Total Borrowings</w:t>
            </w:r>
          </w:p>
        </w:tc>
        <w:tc>
          <w:tcPr>
            <w:tcW w:w="1620" w:type="dxa"/>
            <w:tcBorders>
              <w:top w:val="nil"/>
              <w:left w:val="single" w:sz="4" w:space="0" w:color="auto"/>
              <w:bottom w:val="double" w:sz="4" w:space="0" w:color="auto"/>
              <w:right w:val="single" w:sz="4" w:space="0" w:color="auto"/>
            </w:tcBorders>
          </w:tcPr>
          <w:p w:rsidR="00DF6843" w:rsidRDefault="003B7C33">
            <w:pPr>
              <w:jc w:val="right"/>
              <w:rPr>
                <w:rFonts w:ascii="Arial" w:hAnsi="Arial"/>
                <w:b/>
                <w:sz w:val="20"/>
              </w:rPr>
            </w:pPr>
            <w:r>
              <w:rPr>
                <w:rFonts w:ascii="Arial" w:hAnsi="Arial"/>
                <w:b/>
                <w:sz w:val="20"/>
              </w:rPr>
              <w:t>90,689</w:t>
            </w:r>
          </w:p>
        </w:tc>
      </w:tr>
    </w:tbl>
    <w:p w:rsidR="00DF6843" w:rsidRDefault="00DF6843">
      <w:pPr>
        <w:jc w:val="both"/>
        <w:rPr>
          <w:rFonts w:ascii="Arial" w:hAnsi="Arial"/>
          <w:sz w:val="20"/>
        </w:rPr>
      </w:pPr>
      <w:r>
        <w:rPr>
          <w:rFonts w:ascii="Arial" w:hAnsi="Arial"/>
          <w:sz w:val="20"/>
        </w:rPr>
        <w:t xml:space="preserve"> </w:t>
      </w:r>
    </w:p>
    <w:p w:rsidR="00AE4391" w:rsidRDefault="00AE4391">
      <w:pPr>
        <w:jc w:val="both"/>
        <w:rPr>
          <w:rFonts w:ascii="Arial" w:hAnsi="Arial"/>
          <w:sz w:val="20"/>
        </w:rPr>
      </w:pPr>
    </w:p>
    <w:p w:rsidR="00C12E5D" w:rsidRDefault="00C12E5D" w:rsidP="00562977">
      <w:pPr>
        <w:numPr>
          <w:ilvl w:val="0"/>
          <w:numId w:val="2"/>
        </w:numPr>
        <w:jc w:val="both"/>
        <w:rPr>
          <w:rFonts w:ascii="Arial" w:hAnsi="Arial"/>
          <w:sz w:val="20"/>
          <w:u w:val="single"/>
        </w:rPr>
      </w:pPr>
      <w:r w:rsidRPr="00C12E5D">
        <w:rPr>
          <w:rFonts w:ascii="Arial" w:hAnsi="Arial"/>
          <w:sz w:val="20"/>
          <w:u w:val="single"/>
        </w:rPr>
        <w:t>Gains/Losses arising from Fair Value Changes of Financial Liabilities</w:t>
      </w:r>
    </w:p>
    <w:p w:rsidR="00C12E5D" w:rsidRDefault="00C12E5D" w:rsidP="00C12E5D">
      <w:pPr>
        <w:ind w:left="360"/>
        <w:jc w:val="both"/>
        <w:rPr>
          <w:rFonts w:ascii="Arial" w:hAnsi="Arial"/>
          <w:sz w:val="20"/>
          <w:u w:val="single"/>
        </w:rPr>
      </w:pPr>
    </w:p>
    <w:p w:rsidR="0003747A" w:rsidRDefault="0003747A" w:rsidP="0003747A">
      <w:pPr>
        <w:ind w:left="360"/>
        <w:jc w:val="both"/>
        <w:rPr>
          <w:rFonts w:ascii="Arial" w:hAnsi="Arial"/>
          <w:sz w:val="20"/>
        </w:rPr>
      </w:pPr>
      <w:r>
        <w:rPr>
          <w:rFonts w:ascii="Arial" w:hAnsi="Arial"/>
          <w:sz w:val="20"/>
        </w:rPr>
        <w:t>There were no gains/losses arising from fair value changes arising from any financial liabilities</w:t>
      </w:r>
    </w:p>
    <w:p w:rsidR="0003747A" w:rsidRDefault="0003747A" w:rsidP="00C12E5D">
      <w:pPr>
        <w:ind w:left="720"/>
        <w:jc w:val="both"/>
        <w:rPr>
          <w:rFonts w:ascii="Arial" w:hAnsi="Arial"/>
          <w:sz w:val="20"/>
        </w:rPr>
      </w:pPr>
    </w:p>
    <w:p w:rsidR="0003747A" w:rsidRPr="0003747A" w:rsidRDefault="0003747A" w:rsidP="00562977">
      <w:pPr>
        <w:numPr>
          <w:ilvl w:val="0"/>
          <w:numId w:val="2"/>
        </w:numPr>
        <w:jc w:val="both"/>
        <w:rPr>
          <w:rFonts w:ascii="Arial" w:hAnsi="Arial"/>
          <w:sz w:val="20"/>
          <w:u w:val="single"/>
        </w:rPr>
      </w:pPr>
      <w:r w:rsidRPr="0003747A">
        <w:rPr>
          <w:rFonts w:ascii="Arial" w:hAnsi="Arial"/>
          <w:sz w:val="20"/>
          <w:u w:val="single"/>
        </w:rPr>
        <w:t>Derivative  Financial Instruments</w:t>
      </w:r>
    </w:p>
    <w:p w:rsidR="0003747A" w:rsidRPr="0003747A" w:rsidRDefault="0003747A" w:rsidP="0003747A">
      <w:pPr>
        <w:jc w:val="both"/>
        <w:rPr>
          <w:rFonts w:ascii="Arial" w:hAnsi="Arial"/>
          <w:sz w:val="20"/>
        </w:rPr>
      </w:pPr>
    </w:p>
    <w:p w:rsidR="00270290" w:rsidRDefault="0003747A" w:rsidP="008042BC">
      <w:pPr>
        <w:ind w:left="360"/>
        <w:jc w:val="both"/>
        <w:rPr>
          <w:rFonts w:ascii="Arial" w:hAnsi="Arial"/>
          <w:sz w:val="20"/>
        </w:rPr>
      </w:pPr>
      <w:r>
        <w:rPr>
          <w:rFonts w:ascii="Arial" w:hAnsi="Arial"/>
          <w:sz w:val="20"/>
        </w:rPr>
        <w:t>There were no de</w:t>
      </w:r>
      <w:r w:rsidR="00B55AAB">
        <w:rPr>
          <w:rFonts w:ascii="Arial" w:hAnsi="Arial"/>
          <w:sz w:val="20"/>
        </w:rPr>
        <w:t xml:space="preserve">rivative financial instruments </w:t>
      </w:r>
      <w:r>
        <w:rPr>
          <w:rFonts w:ascii="Arial" w:hAnsi="Arial"/>
          <w:sz w:val="20"/>
        </w:rPr>
        <w:t xml:space="preserve">at the </w:t>
      </w:r>
      <w:r w:rsidR="008042BC">
        <w:rPr>
          <w:rFonts w:ascii="Arial" w:hAnsi="Arial"/>
          <w:sz w:val="20"/>
        </w:rPr>
        <w:t>date of issuance of this repor</w:t>
      </w:r>
      <w:r w:rsidR="000A3C4B">
        <w:rPr>
          <w:rFonts w:ascii="Arial" w:hAnsi="Arial"/>
          <w:sz w:val="20"/>
        </w:rPr>
        <w:t>t</w:t>
      </w:r>
    </w:p>
    <w:p w:rsidR="001438EC" w:rsidRDefault="001438EC" w:rsidP="008042BC">
      <w:pPr>
        <w:jc w:val="both"/>
        <w:rPr>
          <w:rFonts w:ascii="Arial" w:hAnsi="Arial"/>
          <w:sz w:val="20"/>
        </w:rPr>
      </w:pPr>
    </w:p>
    <w:p w:rsidR="008042BC" w:rsidRDefault="008042BC" w:rsidP="008042BC">
      <w:pPr>
        <w:jc w:val="both"/>
        <w:rPr>
          <w:rFonts w:ascii="Arial" w:hAnsi="Arial"/>
          <w:sz w:val="20"/>
        </w:rPr>
      </w:pPr>
    </w:p>
    <w:p w:rsidR="008042BC" w:rsidRDefault="008042BC" w:rsidP="008042BC">
      <w:pPr>
        <w:jc w:val="both"/>
        <w:rPr>
          <w:rFonts w:ascii="Arial" w:hAnsi="Arial"/>
          <w:sz w:val="20"/>
        </w:rPr>
      </w:pPr>
    </w:p>
    <w:p w:rsidR="008042BC" w:rsidRDefault="008042BC" w:rsidP="008042BC">
      <w:pPr>
        <w:jc w:val="both"/>
        <w:rPr>
          <w:rFonts w:ascii="Arial" w:hAnsi="Arial"/>
          <w:b/>
          <w:sz w:val="20"/>
        </w:rPr>
      </w:pPr>
      <w:r>
        <w:rPr>
          <w:rFonts w:ascii="Arial" w:hAnsi="Arial"/>
          <w:b/>
          <w:sz w:val="20"/>
        </w:rPr>
        <w:t>Additional information required by the Main Market’s Listing Requirement (Cont’d)</w:t>
      </w:r>
    </w:p>
    <w:p w:rsidR="00270290" w:rsidRDefault="00270290" w:rsidP="0003747A">
      <w:pPr>
        <w:ind w:left="360"/>
        <w:jc w:val="both"/>
        <w:rPr>
          <w:rFonts w:ascii="Arial" w:hAnsi="Arial"/>
          <w:sz w:val="20"/>
        </w:rPr>
      </w:pPr>
    </w:p>
    <w:p w:rsidR="0003747A" w:rsidRPr="00270290" w:rsidRDefault="0003747A" w:rsidP="00562977">
      <w:pPr>
        <w:numPr>
          <w:ilvl w:val="0"/>
          <w:numId w:val="2"/>
        </w:numPr>
        <w:jc w:val="both"/>
        <w:rPr>
          <w:rFonts w:ascii="Arial" w:hAnsi="Arial"/>
          <w:sz w:val="20"/>
          <w:u w:val="single"/>
        </w:rPr>
      </w:pPr>
      <w:r w:rsidRPr="00270290">
        <w:rPr>
          <w:rFonts w:ascii="Arial" w:hAnsi="Arial"/>
          <w:sz w:val="20"/>
          <w:u w:val="single"/>
        </w:rPr>
        <w:t xml:space="preserve">Accumulated </w:t>
      </w:r>
      <w:proofErr w:type="spellStart"/>
      <w:r w:rsidRPr="00270290">
        <w:rPr>
          <w:rFonts w:ascii="Arial" w:hAnsi="Arial"/>
          <w:sz w:val="20"/>
          <w:u w:val="single"/>
        </w:rPr>
        <w:t>Realised</w:t>
      </w:r>
      <w:proofErr w:type="spellEnd"/>
      <w:r w:rsidRPr="00270290">
        <w:rPr>
          <w:rFonts w:ascii="Arial" w:hAnsi="Arial"/>
          <w:sz w:val="20"/>
          <w:u w:val="single"/>
        </w:rPr>
        <w:t>/</w:t>
      </w:r>
      <w:proofErr w:type="spellStart"/>
      <w:r w:rsidRPr="00270290">
        <w:rPr>
          <w:rFonts w:ascii="Arial" w:hAnsi="Arial"/>
          <w:sz w:val="20"/>
          <w:u w:val="single"/>
        </w:rPr>
        <w:t>Unrealised</w:t>
      </w:r>
      <w:proofErr w:type="spellEnd"/>
      <w:r w:rsidRPr="00270290">
        <w:rPr>
          <w:rFonts w:ascii="Arial" w:hAnsi="Arial"/>
          <w:sz w:val="20"/>
          <w:u w:val="single"/>
        </w:rPr>
        <w:t xml:space="preserve"> </w:t>
      </w:r>
      <w:proofErr w:type="spellStart"/>
      <w:r w:rsidRPr="00270290">
        <w:rPr>
          <w:rFonts w:ascii="Arial" w:hAnsi="Arial"/>
          <w:sz w:val="20"/>
          <w:u w:val="single"/>
        </w:rPr>
        <w:t>Unappropriated</w:t>
      </w:r>
      <w:proofErr w:type="spellEnd"/>
      <w:r w:rsidRPr="00270290">
        <w:rPr>
          <w:rFonts w:ascii="Arial" w:hAnsi="Arial"/>
          <w:sz w:val="20"/>
          <w:u w:val="single"/>
        </w:rPr>
        <w:t xml:space="preserve"> Profits</w:t>
      </w:r>
    </w:p>
    <w:p w:rsidR="0003747A" w:rsidRDefault="0003747A" w:rsidP="0003747A">
      <w:pPr>
        <w:ind w:left="360"/>
        <w:jc w:val="both"/>
        <w:rPr>
          <w:rFonts w:ascii="Arial" w:hAnsi="Arial"/>
          <w:sz w:val="20"/>
          <w:u w:val="single"/>
        </w:rPr>
      </w:pPr>
    </w:p>
    <w:p w:rsidR="0003747A" w:rsidRDefault="00301E01" w:rsidP="0003747A">
      <w:pPr>
        <w:ind w:left="360"/>
        <w:jc w:val="both"/>
        <w:rPr>
          <w:rFonts w:ascii="Arial" w:hAnsi="Arial"/>
          <w:sz w:val="20"/>
        </w:rPr>
      </w:pPr>
      <w:r>
        <w:rPr>
          <w:rFonts w:ascii="Arial" w:hAnsi="Arial"/>
          <w:sz w:val="20"/>
        </w:rPr>
        <w:t>The</w:t>
      </w:r>
      <w:r w:rsidR="0003747A" w:rsidRPr="0003747A">
        <w:rPr>
          <w:rFonts w:ascii="Arial" w:hAnsi="Arial"/>
          <w:sz w:val="20"/>
        </w:rPr>
        <w:t xml:space="preserve"> </w:t>
      </w:r>
      <w:r>
        <w:rPr>
          <w:rFonts w:ascii="Arial" w:hAnsi="Arial"/>
          <w:sz w:val="20"/>
        </w:rPr>
        <w:t>realized/</w:t>
      </w:r>
      <w:proofErr w:type="spellStart"/>
      <w:r w:rsidR="0003747A">
        <w:rPr>
          <w:rFonts w:ascii="Arial" w:hAnsi="Arial"/>
          <w:sz w:val="20"/>
        </w:rPr>
        <w:t>unrealis</w:t>
      </w:r>
      <w:r w:rsidR="0003747A" w:rsidRPr="0003747A">
        <w:rPr>
          <w:rFonts w:ascii="Arial" w:hAnsi="Arial"/>
          <w:sz w:val="20"/>
        </w:rPr>
        <w:t>ed</w:t>
      </w:r>
      <w:proofErr w:type="spellEnd"/>
      <w:r w:rsidR="0003747A" w:rsidRPr="0003747A">
        <w:rPr>
          <w:rFonts w:ascii="Arial" w:hAnsi="Arial"/>
          <w:sz w:val="20"/>
        </w:rPr>
        <w:t xml:space="preserve"> </w:t>
      </w:r>
      <w:proofErr w:type="spellStart"/>
      <w:r w:rsidR="0003747A">
        <w:rPr>
          <w:rFonts w:ascii="Arial" w:hAnsi="Arial"/>
          <w:sz w:val="20"/>
        </w:rPr>
        <w:t>un</w:t>
      </w:r>
      <w:r w:rsidR="0003747A" w:rsidRPr="0003747A">
        <w:rPr>
          <w:rFonts w:ascii="Arial" w:hAnsi="Arial"/>
          <w:sz w:val="20"/>
        </w:rPr>
        <w:t>appropriated</w:t>
      </w:r>
      <w:proofErr w:type="spellEnd"/>
      <w:r w:rsidR="0003747A" w:rsidRPr="0003747A">
        <w:rPr>
          <w:rFonts w:ascii="Arial" w:hAnsi="Arial"/>
          <w:sz w:val="20"/>
        </w:rPr>
        <w:t xml:space="preserve"> profits in the </w:t>
      </w:r>
      <w:r w:rsidR="0003747A">
        <w:rPr>
          <w:rFonts w:ascii="Arial" w:hAnsi="Arial"/>
          <w:sz w:val="20"/>
        </w:rPr>
        <w:t>Statement of Financial Position</w:t>
      </w:r>
      <w:r>
        <w:rPr>
          <w:rFonts w:ascii="Arial" w:hAnsi="Arial"/>
          <w:sz w:val="20"/>
        </w:rPr>
        <w:t xml:space="preserve"> are as follows:</w:t>
      </w:r>
    </w:p>
    <w:p w:rsidR="00301E01" w:rsidRDefault="00301E01" w:rsidP="0003747A">
      <w:pPr>
        <w:ind w:left="360"/>
        <w:jc w:val="both"/>
        <w:rPr>
          <w:rFonts w:ascii="Arial" w:hAnsi="Arial"/>
          <w:sz w:val="20"/>
        </w:rPr>
      </w:pPr>
    </w:p>
    <w:p w:rsidR="00270290" w:rsidRDefault="00270290" w:rsidP="0003747A">
      <w:pPr>
        <w:ind w:left="360"/>
        <w:jc w:val="both"/>
        <w:rPr>
          <w:rFonts w:ascii="Arial" w:hAnsi="Arial"/>
          <w:sz w:val="20"/>
        </w:rPr>
      </w:pPr>
    </w:p>
    <w:p w:rsidR="00AE4391" w:rsidRDefault="00AE4391" w:rsidP="0003747A">
      <w:pPr>
        <w:ind w:left="360"/>
        <w:jc w:val="both"/>
        <w:rPr>
          <w:rFonts w:ascii="Arial" w:hAnsi="Arial"/>
          <w:sz w:val="20"/>
        </w:rPr>
      </w:pPr>
    </w:p>
    <w:p w:rsidR="00301E01" w:rsidRPr="00B55AAB" w:rsidRDefault="00301E01" w:rsidP="0003747A">
      <w:pPr>
        <w:ind w:left="360"/>
        <w:jc w:val="both"/>
        <w:rPr>
          <w:rFonts w:ascii="Arial" w:hAnsi="Arial"/>
          <w:b/>
          <w:sz w:val="20"/>
          <w:u w:val="single"/>
        </w:rPr>
      </w:pPr>
      <w:r>
        <w:rPr>
          <w:rFonts w:ascii="Arial" w:hAnsi="Arial"/>
          <w:sz w:val="20"/>
        </w:rPr>
        <w:t xml:space="preserve">                                                                                              </w:t>
      </w:r>
      <w:r w:rsidRPr="00B55AAB">
        <w:rPr>
          <w:rFonts w:ascii="Arial" w:hAnsi="Arial"/>
          <w:b/>
          <w:sz w:val="20"/>
          <w:u w:val="single"/>
        </w:rPr>
        <w:t>G</w:t>
      </w:r>
      <w:r w:rsidR="00FA7DED" w:rsidRPr="00B55AAB">
        <w:rPr>
          <w:rFonts w:ascii="Arial" w:hAnsi="Arial"/>
          <w:b/>
          <w:sz w:val="20"/>
          <w:u w:val="single"/>
        </w:rPr>
        <w:t xml:space="preserve">roup                </w:t>
      </w:r>
    </w:p>
    <w:p w:rsidR="00301E01" w:rsidRPr="00B55AAB" w:rsidRDefault="00301E01" w:rsidP="0003747A">
      <w:pPr>
        <w:ind w:left="360"/>
        <w:jc w:val="both"/>
        <w:rPr>
          <w:rFonts w:ascii="Arial" w:hAnsi="Arial"/>
          <w:b/>
          <w:sz w:val="20"/>
          <w:u w:val="single"/>
        </w:rPr>
      </w:pPr>
      <w:r>
        <w:rPr>
          <w:rFonts w:ascii="Arial" w:hAnsi="Arial"/>
          <w:sz w:val="20"/>
        </w:rPr>
        <w:t xml:space="preserve">                                                                                              </w:t>
      </w:r>
      <w:r w:rsidRPr="00B55AAB">
        <w:rPr>
          <w:rFonts w:ascii="Arial" w:hAnsi="Arial"/>
          <w:b/>
          <w:sz w:val="20"/>
          <w:u w:val="single"/>
        </w:rPr>
        <w:t>RM’000</w:t>
      </w:r>
      <w:r w:rsidR="00FA7DED" w:rsidRPr="00B55AAB">
        <w:rPr>
          <w:rFonts w:ascii="Arial" w:hAnsi="Arial"/>
          <w:b/>
          <w:sz w:val="20"/>
          <w:u w:val="single"/>
        </w:rPr>
        <w:t xml:space="preserve">              </w:t>
      </w:r>
    </w:p>
    <w:p w:rsidR="00301E01" w:rsidRDefault="00301E01" w:rsidP="0003747A">
      <w:pPr>
        <w:ind w:left="360"/>
        <w:jc w:val="both"/>
        <w:rPr>
          <w:rFonts w:ascii="Arial" w:hAnsi="Arial"/>
          <w:sz w:val="20"/>
        </w:rPr>
      </w:pPr>
    </w:p>
    <w:p w:rsidR="00301E01" w:rsidRPr="0003747A" w:rsidRDefault="00301E01" w:rsidP="0003747A">
      <w:pPr>
        <w:ind w:left="360"/>
        <w:jc w:val="both"/>
        <w:rPr>
          <w:rFonts w:ascii="Arial" w:hAnsi="Arial"/>
          <w:sz w:val="20"/>
        </w:rPr>
      </w:pPr>
      <w:proofErr w:type="spellStart"/>
      <w:r>
        <w:rPr>
          <w:rFonts w:ascii="Arial" w:hAnsi="Arial"/>
          <w:sz w:val="20"/>
        </w:rPr>
        <w:t>Realised</w:t>
      </w:r>
      <w:proofErr w:type="spellEnd"/>
      <w:r>
        <w:rPr>
          <w:rFonts w:ascii="Arial" w:hAnsi="Arial"/>
          <w:sz w:val="20"/>
        </w:rPr>
        <w:t xml:space="preserve">                                              </w:t>
      </w:r>
      <w:r w:rsidR="00051845">
        <w:rPr>
          <w:rFonts w:ascii="Arial" w:hAnsi="Arial"/>
          <w:sz w:val="20"/>
        </w:rPr>
        <w:t xml:space="preserve">                                </w:t>
      </w:r>
      <w:r>
        <w:rPr>
          <w:rFonts w:ascii="Arial" w:hAnsi="Arial"/>
          <w:sz w:val="20"/>
        </w:rPr>
        <w:t xml:space="preserve">   </w:t>
      </w:r>
      <w:r w:rsidR="00566D9B">
        <w:rPr>
          <w:rFonts w:ascii="Arial" w:hAnsi="Arial"/>
          <w:sz w:val="20"/>
        </w:rPr>
        <w:t>44,104</w:t>
      </w:r>
      <w:r w:rsidR="00FA7DED">
        <w:rPr>
          <w:rFonts w:ascii="Arial" w:hAnsi="Arial"/>
          <w:sz w:val="20"/>
        </w:rPr>
        <w:t xml:space="preserve">           </w:t>
      </w:r>
    </w:p>
    <w:p w:rsidR="0003747A" w:rsidRDefault="00FA7DED" w:rsidP="0003747A">
      <w:pPr>
        <w:jc w:val="both"/>
        <w:rPr>
          <w:rFonts w:ascii="Arial" w:hAnsi="Arial"/>
          <w:sz w:val="20"/>
        </w:rPr>
      </w:pPr>
      <w:r>
        <w:rPr>
          <w:rFonts w:ascii="Arial" w:hAnsi="Arial"/>
          <w:sz w:val="20"/>
        </w:rPr>
        <w:t xml:space="preserve">      </w:t>
      </w:r>
      <w:proofErr w:type="spellStart"/>
      <w:r>
        <w:rPr>
          <w:rFonts w:ascii="Arial" w:hAnsi="Arial"/>
          <w:sz w:val="20"/>
        </w:rPr>
        <w:t>Unrealised</w:t>
      </w:r>
      <w:proofErr w:type="spellEnd"/>
      <w:r>
        <w:rPr>
          <w:rFonts w:ascii="Arial" w:hAnsi="Arial"/>
          <w:sz w:val="20"/>
        </w:rPr>
        <w:t xml:space="preserve">                                                     </w:t>
      </w:r>
      <w:r w:rsidR="00013A93">
        <w:rPr>
          <w:rFonts w:ascii="Arial" w:hAnsi="Arial"/>
          <w:sz w:val="20"/>
        </w:rPr>
        <w:t xml:space="preserve">                           </w:t>
      </w:r>
      <w:r w:rsidR="00566D9B">
        <w:rPr>
          <w:rFonts w:ascii="Arial" w:hAnsi="Arial"/>
          <w:sz w:val="20"/>
        </w:rPr>
        <w:t>3,500</w:t>
      </w:r>
    </w:p>
    <w:p w:rsidR="00FA7DED" w:rsidRPr="00B55AAB" w:rsidRDefault="00FA7DED" w:rsidP="0003747A">
      <w:pPr>
        <w:jc w:val="both"/>
        <w:rPr>
          <w:rFonts w:ascii="Arial" w:hAnsi="Arial"/>
          <w:b/>
          <w:sz w:val="20"/>
        </w:rPr>
      </w:pPr>
      <w:r>
        <w:rPr>
          <w:rFonts w:ascii="Arial" w:hAnsi="Arial"/>
          <w:sz w:val="20"/>
        </w:rPr>
        <w:t xml:space="preserve">                                                                                                     </w:t>
      </w:r>
      <w:r w:rsidRPr="00B55AAB">
        <w:rPr>
          <w:rFonts w:ascii="Arial" w:hAnsi="Arial"/>
          <w:b/>
          <w:sz w:val="20"/>
        </w:rPr>
        <w:t>---------</w:t>
      </w:r>
    </w:p>
    <w:p w:rsidR="00FA7DED" w:rsidRPr="00B55AAB" w:rsidRDefault="00FA7DED" w:rsidP="0003747A">
      <w:pPr>
        <w:jc w:val="both"/>
        <w:rPr>
          <w:rFonts w:ascii="Arial" w:hAnsi="Arial"/>
          <w:b/>
          <w:sz w:val="20"/>
        </w:rPr>
      </w:pPr>
      <w:r w:rsidRPr="00B55AAB">
        <w:rPr>
          <w:rFonts w:ascii="Arial" w:hAnsi="Arial"/>
          <w:b/>
          <w:sz w:val="20"/>
        </w:rPr>
        <w:t xml:space="preserve">     Total                                                    </w:t>
      </w:r>
      <w:r w:rsidR="00051845">
        <w:rPr>
          <w:rFonts w:ascii="Arial" w:hAnsi="Arial"/>
          <w:b/>
          <w:sz w:val="20"/>
        </w:rPr>
        <w:t xml:space="preserve">                                </w:t>
      </w:r>
      <w:r w:rsidRPr="00B55AAB">
        <w:rPr>
          <w:rFonts w:ascii="Arial" w:hAnsi="Arial"/>
          <w:b/>
          <w:sz w:val="20"/>
        </w:rPr>
        <w:t xml:space="preserve">    </w:t>
      </w:r>
      <w:r w:rsidR="00566D9B">
        <w:rPr>
          <w:rFonts w:ascii="Arial" w:hAnsi="Arial"/>
          <w:b/>
          <w:sz w:val="20"/>
        </w:rPr>
        <w:t>47,604</w:t>
      </w:r>
      <w:bookmarkStart w:id="0" w:name="_GoBack"/>
      <w:bookmarkEnd w:id="0"/>
    </w:p>
    <w:p w:rsidR="00FA7DED" w:rsidRDefault="00FA7DED" w:rsidP="0003747A">
      <w:pPr>
        <w:jc w:val="both"/>
        <w:rPr>
          <w:rFonts w:ascii="Arial" w:hAnsi="Arial"/>
          <w:sz w:val="20"/>
        </w:rPr>
      </w:pPr>
      <w:r>
        <w:rPr>
          <w:rFonts w:ascii="Arial" w:hAnsi="Arial"/>
          <w:sz w:val="20"/>
        </w:rPr>
        <w:t xml:space="preserve">                                                                                                     ---------</w:t>
      </w:r>
    </w:p>
    <w:p w:rsidR="00D0391B" w:rsidRDefault="00D0391B" w:rsidP="00D0391B">
      <w:pPr>
        <w:jc w:val="both"/>
        <w:rPr>
          <w:rFonts w:ascii="Arial" w:hAnsi="Arial"/>
          <w:sz w:val="20"/>
        </w:rPr>
      </w:pPr>
    </w:p>
    <w:p w:rsidR="00FA7DED" w:rsidRDefault="00FA7DED" w:rsidP="0003747A">
      <w:pPr>
        <w:jc w:val="both"/>
        <w:rPr>
          <w:rFonts w:ascii="Arial" w:hAnsi="Arial"/>
          <w:sz w:val="20"/>
        </w:rPr>
      </w:pPr>
    </w:p>
    <w:p w:rsidR="00AE4391" w:rsidRDefault="00AE4391" w:rsidP="0003747A">
      <w:pPr>
        <w:jc w:val="both"/>
        <w:rPr>
          <w:rFonts w:ascii="Arial" w:hAnsi="Arial"/>
          <w:sz w:val="20"/>
        </w:rPr>
      </w:pPr>
    </w:p>
    <w:p w:rsidR="00DF6843" w:rsidRPr="00562977" w:rsidRDefault="00DF6843" w:rsidP="00562977">
      <w:pPr>
        <w:pStyle w:val="ListParagraph"/>
        <w:numPr>
          <w:ilvl w:val="0"/>
          <w:numId w:val="2"/>
        </w:numPr>
        <w:jc w:val="both"/>
        <w:rPr>
          <w:rFonts w:ascii="Arial" w:hAnsi="Arial"/>
          <w:sz w:val="20"/>
          <w:u w:val="single"/>
        </w:rPr>
      </w:pPr>
      <w:r w:rsidRPr="00562977">
        <w:rPr>
          <w:rFonts w:ascii="Arial" w:hAnsi="Arial"/>
          <w:sz w:val="20"/>
          <w:u w:val="single"/>
        </w:rPr>
        <w:t>Material litigation</w:t>
      </w:r>
    </w:p>
    <w:p w:rsidR="00DF6843" w:rsidRDefault="00DF6843">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t>There was no material litigation, which would have a material adverse effect on the financial results.</w:t>
      </w:r>
    </w:p>
    <w:p w:rsidR="00DF6843" w:rsidRDefault="00DF6843">
      <w:pPr>
        <w:ind w:left="360"/>
        <w:jc w:val="both"/>
        <w:rPr>
          <w:rFonts w:ascii="Arial" w:hAnsi="Arial"/>
          <w:sz w:val="20"/>
        </w:rPr>
      </w:pPr>
    </w:p>
    <w:p w:rsidR="00DF6843" w:rsidRDefault="00DF6843" w:rsidP="00562977">
      <w:pPr>
        <w:numPr>
          <w:ilvl w:val="0"/>
          <w:numId w:val="2"/>
        </w:numPr>
        <w:jc w:val="both"/>
        <w:rPr>
          <w:rFonts w:ascii="Arial" w:hAnsi="Arial"/>
          <w:sz w:val="20"/>
          <w:u w:val="single"/>
        </w:rPr>
      </w:pPr>
      <w:r>
        <w:rPr>
          <w:rFonts w:ascii="Arial" w:hAnsi="Arial"/>
          <w:sz w:val="20"/>
          <w:u w:val="single"/>
        </w:rPr>
        <w:t>Dividends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 Board of Directors is not recommending any payment of an interim dividend for the current financial period under review.</w:t>
      </w:r>
    </w:p>
    <w:p w:rsidR="00AE4391" w:rsidRDefault="00AE4391">
      <w:pPr>
        <w:jc w:val="both"/>
        <w:rPr>
          <w:rFonts w:ascii="Arial" w:hAnsi="Arial"/>
          <w:sz w:val="20"/>
        </w:rPr>
      </w:pPr>
    </w:p>
    <w:p w:rsidR="00AE4391" w:rsidRDefault="00AE4391" w:rsidP="00AE4391">
      <w:pPr>
        <w:jc w:val="both"/>
        <w:rPr>
          <w:rFonts w:ascii="Arial" w:hAnsi="Arial"/>
          <w:b/>
          <w:sz w:val="20"/>
        </w:rPr>
      </w:pPr>
    </w:p>
    <w:p w:rsidR="00DF6843" w:rsidRDefault="00DF6843" w:rsidP="00562977">
      <w:pPr>
        <w:numPr>
          <w:ilvl w:val="0"/>
          <w:numId w:val="2"/>
        </w:numPr>
        <w:jc w:val="both"/>
        <w:rPr>
          <w:rFonts w:ascii="Arial" w:hAnsi="Arial"/>
          <w:sz w:val="20"/>
          <w:u w:val="single"/>
        </w:rPr>
      </w:pPr>
      <w:r>
        <w:rPr>
          <w:rFonts w:ascii="Arial" w:hAnsi="Arial"/>
          <w:sz w:val="20"/>
          <w:u w:val="single"/>
        </w:rPr>
        <w:t>Earnings per share (“EPS”)</w:t>
      </w:r>
    </w:p>
    <w:p w:rsidR="00DF6843" w:rsidRDefault="00DF6843">
      <w:pPr>
        <w:jc w:val="both"/>
        <w:rPr>
          <w:rFonts w:ascii="Arial" w:hAnsi="Arial"/>
          <w:sz w:val="20"/>
        </w:rPr>
      </w:pPr>
    </w:p>
    <w:p w:rsidR="00DF6843" w:rsidRDefault="00DF6843" w:rsidP="002C0217">
      <w:pPr>
        <w:numPr>
          <w:ilvl w:val="1"/>
          <w:numId w:val="3"/>
        </w:numPr>
        <w:tabs>
          <w:tab w:val="num" w:pos="720"/>
        </w:tabs>
        <w:ind w:left="720"/>
        <w:jc w:val="both"/>
        <w:rPr>
          <w:rFonts w:ascii="Arial" w:hAnsi="Arial"/>
          <w:sz w:val="20"/>
          <w:u w:val="single"/>
        </w:rPr>
      </w:pPr>
      <w:r>
        <w:rPr>
          <w:rFonts w:ascii="Arial" w:hAnsi="Arial"/>
          <w:sz w:val="20"/>
          <w:u w:val="single"/>
        </w:rPr>
        <w:t>Basic EPS</w:t>
      </w:r>
    </w:p>
    <w:p w:rsidR="00DF6843" w:rsidRDefault="00DF6843">
      <w:pPr>
        <w:jc w:val="both"/>
        <w:rPr>
          <w:rFonts w:ascii="Arial" w:hAnsi="Arial"/>
          <w:sz w:val="20"/>
        </w:rPr>
      </w:pPr>
    </w:p>
    <w:p w:rsidR="00DF6843" w:rsidRDefault="00DF6843">
      <w:pPr>
        <w:pStyle w:val="BodyTextIndent3"/>
      </w:pPr>
      <w:r>
        <w:t>The calculation of basic EPS for continui</w:t>
      </w:r>
      <w:r w:rsidR="001D6D90">
        <w:t>ng operations the current year</w:t>
      </w:r>
      <w:r w:rsidR="000617BB">
        <w:t xml:space="preserve"> </w:t>
      </w:r>
      <w:r w:rsidR="00C05D26">
        <w:t>i</w:t>
      </w:r>
      <w:r w:rsidR="0003747A">
        <w:t xml:space="preserve">s based on </w:t>
      </w:r>
      <w:r w:rsidR="00B55AAB">
        <w:t>the profit of RM</w:t>
      </w:r>
      <w:r w:rsidR="001C15A2">
        <w:t xml:space="preserve"> </w:t>
      </w:r>
      <w:r w:rsidR="00334E20">
        <w:t>9.08</w:t>
      </w:r>
      <w:r w:rsidR="00C7578F">
        <w:t xml:space="preserve"> </w:t>
      </w:r>
      <w:r w:rsidR="00C05D26">
        <w:t>million for</w:t>
      </w:r>
      <w:r w:rsidR="00334E20">
        <w:t xml:space="preserve"> 9</w:t>
      </w:r>
      <w:r w:rsidR="00B55AAB">
        <w:t>-</w:t>
      </w:r>
      <w:r w:rsidR="00334E20">
        <w:t>months to 30 Sept</w:t>
      </w:r>
      <w:r w:rsidR="00051845">
        <w:t xml:space="preserve"> 2013</w:t>
      </w:r>
      <w:r>
        <w:t xml:space="preserve"> and the weighted average number of ordinary shares in issue during the current quarter of 147,827,158 ordinary shares.   </w:t>
      </w:r>
    </w:p>
    <w:p w:rsidR="00DF6843" w:rsidRDefault="00DF6843">
      <w:pPr>
        <w:jc w:val="both"/>
        <w:rPr>
          <w:rFonts w:ascii="Arial" w:hAnsi="Arial"/>
          <w:b/>
          <w:sz w:val="20"/>
        </w:rPr>
      </w:pPr>
    </w:p>
    <w:p w:rsidR="00DF6843" w:rsidRDefault="00DF6843" w:rsidP="002C0217">
      <w:pPr>
        <w:numPr>
          <w:ilvl w:val="1"/>
          <w:numId w:val="3"/>
        </w:numPr>
        <w:ind w:left="720"/>
        <w:jc w:val="both"/>
        <w:rPr>
          <w:rFonts w:ascii="Arial" w:hAnsi="Arial"/>
          <w:sz w:val="20"/>
          <w:u w:val="single"/>
        </w:rPr>
      </w:pPr>
      <w:r>
        <w:rPr>
          <w:rFonts w:ascii="Arial" w:hAnsi="Arial"/>
          <w:sz w:val="20"/>
          <w:u w:val="single"/>
        </w:rPr>
        <w:t>Diluted EPS</w:t>
      </w:r>
    </w:p>
    <w:p w:rsidR="00DF6843" w:rsidRDefault="00DF6843">
      <w:pPr>
        <w:jc w:val="both"/>
        <w:rPr>
          <w:rFonts w:ascii="Arial" w:hAnsi="Arial"/>
          <w:sz w:val="20"/>
        </w:rPr>
      </w:pPr>
    </w:p>
    <w:p w:rsidR="00DF6843" w:rsidRDefault="00DF6843">
      <w:pPr>
        <w:ind w:left="720"/>
        <w:jc w:val="both"/>
        <w:rPr>
          <w:rFonts w:ascii="Arial" w:hAnsi="Arial"/>
          <w:sz w:val="20"/>
        </w:rPr>
      </w:pPr>
      <w:r>
        <w:rPr>
          <w:rFonts w:ascii="Arial" w:hAnsi="Arial"/>
          <w:sz w:val="20"/>
        </w:rPr>
        <w:t>No disclosure is requires as the Company does not have any potential ordinary shares.</w:t>
      </w:r>
    </w:p>
    <w:p w:rsidR="00DF6843" w:rsidRDefault="00DF6843">
      <w:pPr>
        <w:ind w:left="720"/>
        <w:jc w:val="both"/>
        <w:rPr>
          <w:rFonts w:ascii="Arial" w:hAnsi="Arial"/>
          <w:sz w:val="20"/>
        </w:rPr>
      </w:pPr>
    </w:p>
    <w:p w:rsidR="00DF6843" w:rsidRDefault="00DF6843">
      <w:pPr>
        <w:ind w:left="720"/>
        <w:jc w:val="both"/>
        <w:rPr>
          <w:rFonts w:ascii="Arial" w:hAnsi="Arial"/>
          <w:sz w:val="20"/>
        </w:rPr>
      </w:pPr>
    </w:p>
    <w:p w:rsidR="00DF6843" w:rsidRDefault="00DF6843" w:rsidP="00B55AAB">
      <w:pPr>
        <w:jc w:val="both"/>
        <w:rPr>
          <w:rFonts w:ascii="Arial" w:hAnsi="Arial"/>
          <w:sz w:val="20"/>
        </w:rPr>
      </w:pPr>
    </w:p>
    <w:p w:rsidR="00DF6843" w:rsidRDefault="00DF6843">
      <w:pPr>
        <w:ind w:left="360"/>
        <w:jc w:val="both"/>
        <w:rPr>
          <w:rFonts w:ascii="Arial" w:hAnsi="Arial"/>
          <w:sz w:val="20"/>
        </w:rPr>
      </w:pPr>
    </w:p>
    <w:p w:rsidR="00DF6843" w:rsidRDefault="008A62FF">
      <w:pPr>
        <w:pStyle w:val="Heading1"/>
      </w:pPr>
      <w:r>
        <w:t>By Order of the Board</w:t>
      </w:r>
    </w:p>
    <w:p w:rsidR="008A62FF" w:rsidRDefault="008A62FF" w:rsidP="008A62FF">
      <w:pPr>
        <w:rPr>
          <w:rFonts w:ascii="Arial" w:hAnsi="Arial" w:cs="Arial"/>
          <w:sz w:val="20"/>
          <w:szCs w:val="20"/>
        </w:rPr>
      </w:pPr>
    </w:p>
    <w:p w:rsidR="008A62FF" w:rsidRDefault="008A62FF" w:rsidP="008A62FF">
      <w:pPr>
        <w:rPr>
          <w:rFonts w:ascii="Arial" w:hAnsi="Arial" w:cs="Arial"/>
          <w:sz w:val="20"/>
          <w:szCs w:val="20"/>
        </w:rPr>
      </w:pPr>
    </w:p>
    <w:p w:rsidR="008A62FF" w:rsidRDefault="008A62FF" w:rsidP="008A62FF">
      <w:pPr>
        <w:rPr>
          <w:rFonts w:ascii="Arial" w:hAnsi="Arial" w:cs="Arial"/>
          <w:sz w:val="20"/>
          <w:szCs w:val="20"/>
        </w:rPr>
      </w:pPr>
    </w:p>
    <w:p w:rsidR="008A62FF" w:rsidRDefault="008A62FF" w:rsidP="008A62FF">
      <w:pPr>
        <w:rPr>
          <w:rFonts w:ascii="Arial" w:hAnsi="Arial" w:cs="Arial"/>
          <w:b/>
          <w:sz w:val="20"/>
          <w:szCs w:val="20"/>
        </w:rPr>
      </w:pPr>
    </w:p>
    <w:p w:rsidR="00DF6843" w:rsidRDefault="00DF6843">
      <w:pPr>
        <w:jc w:val="both"/>
        <w:rPr>
          <w:rFonts w:ascii="Arial" w:hAnsi="Arial"/>
          <w:b/>
          <w:sz w:val="20"/>
        </w:rPr>
      </w:pPr>
    </w:p>
    <w:p w:rsidR="00DF6843" w:rsidRDefault="00334E20">
      <w:pPr>
        <w:jc w:val="both"/>
        <w:rPr>
          <w:rFonts w:ascii="Arial" w:hAnsi="Arial"/>
          <w:sz w:val="20"/>
        </w:rPr>
      </w:pPr>
      <w:r>
        <w:rPr>
          <w:rFonts w:ascii="Arial" w:hAnsi="Arial"/>
          <w:sz w:val="20"/>
        </w:rPr>
        <w:t xml:space="preserve">24 </w:t>
      </w:r>
      <w:proofErr w:type="gramStart"/>
      <w:r>
        <w:rPr>
          <w:rFonts w:ascii="Arial" w:hAnsi="Arial"/>
          <w:sz w:val="20"/>
        </w:rPr>
        <w:t>November</w:t>
      </w:r>
      <w:r w:rsidR="00C7578F">
        <w:rPr>
          <w:rFonts w:ascii="Arial" w:hAnsi="Arial"/>
          <w:sz w:val="20"/>
        </w:rPr>
        <w:t xml:space="preserve"> </w:t>
      </w:r>
      <w:r w:rsidR="003A1199">
        <w:rPr>
          <w:rFonts w:ascii="Arial" w:hAnsi="Arial"/>
          <w:sz w:val="20"/>
        </w:rPr>
        <w:t xml:space="preserve"> </w:t>
      </w:r>
      <w:r w:rsidR="001D6D90">
        <w:rPr>
          <w:rFonts w:ascii="Arial" w:hAnsi="Arial"/>
          <w:sz w:val="20"/>
        </w:rPr>
        <w:t>2013</w:t>
      </w:r>
      <w:proofErr w:type="gramEnd"/>
    </w:p>
    <w:sectPr w:rsidR="00DF6843" w:rsidSect="00546369">
      <w:footerReference w:type="default" r:id="rId8"/>
      <w:pgSz w:w="12240" w:h="15840" w:code="1"/>
      <w:pgMar w:top="1152" w:right="108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7B" w:rsidRDefault="0019627B">
      <w:r>
        <w:separator/>
      </w:r>
    </w:p>
  </w:endnote>
  <w:endnote w:type="continuationSeparator" w:id="0">
    <w:p w:rsidR="0019627B" w:rsidRDefault="0019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02" w:rsidRDefault="00983702">
    <w:pPr>
      <w:pStyle w:val="Footer"/>
      <w:jc w:val="both"/>
      <w:rPr>
        <w:rFonts w:ascii="Arial" w:hAnsi="Arial"/>
        <w:sz w:val="18"/>
      </w:rPr>
    </w:pPr>
    <w:r>
      <w:rPr>
        <w:rFonts w:ascii="Arial" w:hAnsi="Arial"/>
        <w:sz w:val="18"/>
      </w:rPr>
      <w:tab/>
      <w:t xml:space="preserv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566D9B">
      <w:rPr>
        <w:rFonts w:ascii="Arial" w:hAnsi="Arial"/>
        <w:noProof/>
        <w:sz w:val="18"/>
      </w:rPr>
      <w:t>1</w:t>
    </w:r>
    <w:r>
      <w:rPr>
        <w:rFonts w:ascii="Arial" w:hAnsi="Arial"/>
        <w:sz w:val="18"/>
      </w:rPr>
      <w:fldChar w:fldCharType="end"/>
    </w:r>
    <w:r>
      <w:rPr>
        <w:rFonts w:ascii="Arial" w:hAnsi="Arial"/>
        <w:sz w:val="18"/>
      </w:rPr>
      <w:t xml:space="preserve"> -</w:t>
    </w:r>
  </w:p>
  <w:p w:rsidR="00983702" w:rsidRDefault="00983702">
    <w:pPr>
      <w:pStyle w:val="Footer"/>
      <w:jc w:val="both"/>
      <w:rPr>
        <w:rFonts w:ascii="Arial" w:hAnsi="Arial"/>
        <w:sz w:val="18"/>
      </w:rPr>
    </w:pPr>
  </w:p>
  <w:p w:rsidR="00983702" w:rsidRDefault="00983702">
    <w:pPr>
      <w:pStyle w:val="Footer"/>
      <w:jc w:val="both"/>
      <w:rPr>
        <w:rFonts w:ascii="Arial" w:hAnsi="Arial"/>
        <w:sz w:val="18"/>
      </w:rPr>
    </w:pPr>
    <w:r>
      <w:rPr>
        <w:rFonts w:ascii="Arial" w:hAnsi="Arial"/>
        <w:sz w:val="18"/>
      </w:rPr>
      <w:t xml:space="preserve">LFM/ </w:t>
    </w:r>
    <w:r>
      <w:rPr>
        <w:rFonts w:ascii="Arial" w:hAnsi="Arial"/>
        <w:sz w:val="18"/>
      </w:rPr>
      <w:fldChar w:fldCharType="begin"/>
    </w:r>
    <w:r>
      <w:rPr>
        <w:rFonts w:ascii="Arial" w:hAnsi="Arial"/>
        <w:sz w:val="18"/>
      </w:rPr>
      <w:instrText xml:space="preserve"> FILENAME </w:instrText>
    </w:r>
    <w:r>
      <w:rPr>
        <w:rFonts w:ascii="Arial" w:hAnsi="Arial"/>
        <w:sz w:val="18"/>
      </w:rPr>
      <w:fldChar w:fldCharType="separate"/>
    </w:r>
    <w:r w:rsidR="0049366C">
      <w:rPr>
        <w:rFonts w:ascii="Arial" w:hAnsi="Arial"/>
        <w:noProof/>
        <w:sz w:val="18"/>
      </w:rPr>
      <w:t>KPSCB-Interim Financial Report 2011-qtr 3.docx</w:t>
    </w:r>
    <w:r>
      <w:rPr>
        <w:rFonts w:ascii="Arial" w:hAnsi="Arial"/>
        <w:sz w:val="18"/>
      </w:rPr>
      <w:fldChar w:fldCharType="end"/>
    </w:r>
    <w:r>
      <w:rPr>
        <w:rFonts w:ascii="Arial" w:hAnsi="Arial"/>
        <w:sz w:val="18"/>
      </w:rPr>
      <w:t xml:space="preserve">   </w:t>
    </w:r>
    <w:r>
      <w:rPr>
        <w:rFonts w:ascii="Arial" w:hAnsi="Arial"/>
        <w:sz w:val="18"/>
      </w:rPr>
      <w:tab/>
      <w:t xml:space="preserve"> </w:t>
    </w:r>
    <w:r>
      <w:rPr>
        <w:rFonts w:ascii="Arial" w:hAnsi="Arial"/>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7B" w:rsidRDefault="0019627B">
      <w:r>
        <w:separator/>
      </w:r>
    </w:p>
  </w:footnote>
  <w:footnote w:type="continuationSeparator" w:id="0">
    <w:p w:rsidR="0019627B" w:rsidRDefault="00196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645"/>
    <w:multiLevelType w:val="hybridMultilevel"/>
    <w:tmpl w:val="D9D458A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306CD3"/>
    <w:multiLevelType w:val="hybridMultilevel"/>
    <w:tmpl w:val="1756B0BA"/>
    <w:lvl w:ilvl="0" w:tplc="B5EEF9E2">
      <w:start w:val="1"/>
      <w:numFmt w:val="decimal"/>
      <w:lvlText w:val="%1."/>
      <w:lvlJc w:val="righ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408B6058"/>
    <w:multiLevelType w:val="hybridMultilevel"/>
    <w:tmpl w:val="560C769C"/>
    <w:lvl w:ilvl="0" w:tplc="B14ADED0">
      <w:start w:val="1"/>
      <w:numFmt w:val="decimal"/>
      <w:lvlText w:val="%1."/>
      <w:lvlJc w:val="center"/>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A933244"/>
    <w:multiLevelType w:val="hybridMultilevel"/>
    <w:tmpl w:val="D918FF7C"/>
    <w:lvl w:ilvl="0" w:tplc="C1D46F6C">
      <w:start w:val="1"/>
      <w:numFmt w:val="decimal"/>
      <w:lvlText w:val="%1."/>
      <w:lvlJc w:val="center"/>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70"/>
    <w:rsid w:val="00013A93"/>
    <w:rsid w:val="00013C7B"/>
    <w:rsid w:val="00017BC3"/>
    <w:rsid w:val="0003747A"/>
    <w:rsid w:val="00041F70"/>
    <w:rsid w:val="000444A9"/>
    <w:rsid w:val="00051845"/>
    <w:rsid w:val="000617BB"/>
    <w:rsid w:val="00063730"/>
    <w:rsid w:val="0006402F"/>
    <w:rsid w:val="00083123"/>
    <w:rsid w:val="000A0C29"/>
    <w:rsid w:val="000A0C75"/>
    <w:rsid w:val="000A3C4B"/>
    <w:rsid w:val="000B1AE2"/>
    <w:rsid w:val="000B5AB9"/>
    <w:rsid w:val="000C4B22"/>
    <w:rsid w:val="000E6B5F"/>
    <w:rsid w:val="000F7B05"/>
    <w:rsid w:val="00130CBC"/>
    <w:rsid w:val="00136D1F"/>
    <w:rsid w:val="001438EC"/>
    <w:rsid w:val="00164884"/>
    <w:rsid w:val="0017495F"/>
    <w:rsid w:val="00185971"/>
    <w:rsid w:val="0019627B"/>
    <w:rsid w:val="001A2C1A"/>
    <w:rsid w:val="001C15A2"/>
    <w:rsid w:val="001C6296"/>
    <w:rsid w:val="001D6D90"/>
    <w:rsid w:val="001E607E"/>
    <w:rsid w:val="00221EFC"/>
    <w:rsid w:val="0023236F"/>
    <w:rsid w:val="00247265"/>
    <w:rsid w:val="00252D3C"/>
    <w:rsid w:val="00270290"/>
    <w:rsid w:val="0027168A"/>
    <w:rsid w:val="00271976"/>
    <w:rsid w:val="00274719"/>
    <w:rsid w:val="00277EBA"/>
    <w:rsid w:val="00286C6D"/>
    <w:rsid w:val="00290FFE"/>
    <w:rsid w:val="002948F7"/>
    <w:rsid w:val="002A6DC1"/>
    <w:rsid w:val="002B7773"/>
    <w:rsid w:val="002C0217"/>
    <w:rsid w:val="002C29E7"/>
    <w:rsid w:val="002C2E98"/>
    <w:rsid w:val="002D3BF1"/>
    <w:rsid w:val="002E1A89"/>
    <w:rsid w:val="002E22E3"/>
    <w:rsid w:val="002E7823"/>
    <w:rsid w:val="002F290C"/>
    <w:rsid w:val="002F7D68"/>
    <w:rsid w:val="00301E01"/>
    <w:rsid w:val="00334E20"/>
    <w:rsid w:val="00336D58"/>
    <w:rsid w:val="003618C6"/>
    <w:rsid w:val="003766B4"/>
    <w:rsid w:val="003776A4"/>
    <w:rsid w:val="003842A8"/>
    <w:rsid w:val="003A1199"/>
    <w:rsid w:val="003A2E07"/>
    <w:rsid w:val="003A322B"/>
    <w:rsid w:val="003B7C33"/>
    <w:rsid w:val="003C44E9"/>
    <w:rsid w:val="003D70EC"/>
    <w:rsid w:val="004250F4"/>
    <w:rsid w:val="004354DA"/>
    <w:rsid w:val="00440D1E"/>
    <w:rsid w:val="00445FD4"/>
    <w:rsid w:val="00491861"/>
    <w:rsid w:val="0049366C"/>
    <w:rsid w:val="004969AC"/>
    <w:rsid w:val="004E3B6B"/>
    <w:rsid w:val="00545827"/>
    <w:rsid w:val="00546369"/>
    <w:rsid w:val="00562977"/>
    <w:rsid w:val="00566D9B"/>
    <w:rsid w:val="00573BF2"/>
    <w:rsid w:val="00583C70"/>
    <w:rsid w:val="005A5A9F"/>
    <w:rsid w:val="005A6BC4"/>
    <w:rsid w:val="005D02FB"/>
    <w:rsid w:val="00624686"/>
    <w:rsid w:val="0063490B"/>
    <w:rsid w:val="006364BF"/>
    <w:rsid w:val="006453E4"/>
    <w:rsid w:val="006467A6"/>
    <w:rsid w:val="00647357"/>
    <w:rsid w:val="00650E63"/>
    <w:rsid w:val="0066376C"/>
    <w:rsid w:val="00665D04"/>
    <w:rsid w:val="00667AF3"/>
    <w:rsid w:val="00675244"/>
    <w:rsid w:val="00675DB0"/>
    <w:rsid w:val="00693FFC"/>
    <w:rsid w:val="006A2BB8"/>
    <w:rsid w:val="006C18B1"/>
    <w:rsid w:val="006D0676"/>
    <w:rsid w:val="006F304E"/>
    <w:rsid w:val="006F711E"/>
    <w:rsid w:val="006F760F"/>
    <w:rsid w:val="00705059"/>
    <w:rsid w:val="00705F20"/>
    <w:rsid w:val="007155A7"/>
    <w:rsid w:val="00716463"/>
    <w:rsid w:val="007349DF"/>
    <w:rsid w:val="00743D71"/>
    <w:rsid w:val="00760AC4"/>
    <w:rsid w:val="007621D0"/>
    <w:rsid w:val="007B09A2"/>
    <w:rsid w:val="007B4B69"/>
    <w:rsid w:val="007C1379"/>
    <w:rsid w:val="007C4859"/>
    <w:rsid w:val="007C6B43"/>
    <w:rsid w:val="007D694B"/>
    <w:rsid w:val="007F5DE3"/>
    <w:rsid w:val="00800D66"/>
    <w:rsid w:val="00802EF2"/>
    <w:rsid w:val="008042BC"/>
    <w:rsid w:val="00823C5B"/>
    <w:rsid w:val="00827C13"/>
    <w:rsid w:val="00833B41"/>
    <w:rsid w:val="008349E2"/>
    <w:rsid w:val="008432AD"/>
    <w:rsid w:val="0084753D"/>
    <w:rsid w:val="00852BB7"/>
    <w:rsid w:val="008621B9"/>
    <w:rsid w:val="008660E6"/>
    <w:rsid w:val="00866DD3"/>
    <w:rsid w:val="00885372"/>
    <w:rsid w:val="008921D5"/>
    <w:rsid w:val="008941E6"/>
    <w:rsid w:val="008A2862"/>
    <w:rsid w:val="008A62FF"/>
    <w:rsid w:val="008A6EBD"/>
    <w:rsid w:val="008A7E84"/>
    <w:rsid w:val="008C1DE7"/>
    <w:rsid w:val="008C2CB1"/>
    <w:rsid w:val="008C3490"/>
    <w:rsid w:val="008E2206"/>
    <w:rsid w:val="008E6CC4"/>
    <w:rsid w:val="008F0206"/>
    <w:rsid w:val="008F7E9B"/>
    <w:rsid w:val="009243BF"/>
    <w:rsid w:val="009545BA"/>
    <w:rsid w:val="00957499"/>
    <w:rsid w:val="009627EB"/>
    <w:rsid w:val="0097190C"/>
    <w:rsid w:val="00983702"/>
    <w:rsid w:val="00A01A90"/>
    <w:rsid w:val="00A15D9F"/>
    <w:rsid w:val="00A317CE"/>
    <w:rsid w:val="00A345E7"/>
    <w:rsid w:val="00A42785"/>
    <w:rsid w:val="00A44654"/>
    <w:rsid w:val="00A613FB"/>
    <w:rsid w:val="00A7254F"/>
    <w:rsid w:val="00A838E2"/>
    <w:rsid w:val="00A90551"/>
    <w:rsid w:val="00A91518"/>
    <w:rsid w:val="00AB07DF"/>
    <w:rsid w:val="00AD696A"/>
    <w:rsid w:val="00AD7775"/>
    <w:rsid w:val="00AE050A"/>
    <w:rsid w:val="00AE4391"/>
    <w:rsid w:val="00B02F86"/>
    <w:rsid w:val="00B12014"/>
    <w:rsid w:val="00B23250"/>
    <w:rsid w:val="00B37B0E"/>
    <w:rsid w:val="00B55AAB"/>
    <w:rsid w:val="00B62EFF"/>
    <w:rsid w:val="00B6691D"/>
    <w:rsid w:val="00B7298E"/>
    <w:rsid w:val="00B72EF2"/>
    <w:rsid w:val="00B85789"/>
    <w:rsid w:val="00B93562"/>
    <w:rsid w:val="00B9527A"/>
    <w:rsid w:val="00BA2D9B"/>
    <w:rsid w:val="00BB65BC"/>
    <w:rsid w:val="00BC23E1"/>
    <w:rsid w:val="00BC2A8A"/>
    <w:rsid w:val="00BC699E"/>
    <w:rsid w:val="00BD35FE"/>
    <w:rsid w:val="00BE0FCC"/>
    <w:rsid w:val="00C008D1"/>
    <w:rsid w:val="00C017E0"/>
    <w:rsid w:val="00C05D26"/>
    <w:rsid w:val="00C12E5D"/>
    <w:rsid w:val="00C21B4C"/>
    <w:rsid w:val="00C377BB"/>
    <w:rsid w:val="00C4525F"/>
    <w:rsid w:val="00C561EF"/>
    <w:rsid w:val="00C615EB"/>
    <w:rsid w:val="00C6425C"/>
    <w:rsid w:val="00C71B96"/>
    <w:rsid w:val="00C7578F"/>
    <w:rsid w:val="00C82224"/>
    <w:rsid w:val="00CB2104"/>
    <w:rsid w:val="00CB654D"/>
    <w:rsid w:val="00CC5086"/>
    <w:rsid w:val="00CD67BA"/>
    <w:rsid w:val="00CE2AA6"/>
    <w:rsid w:val="00CF24A7"/>
    <w:rsid w:val="00D0391B"/>
    <w:rsid w:val="00D401C4"/>
    <w:rsid w:val="00D464AA"/>
    <w:rsid w:val="00D5030D"/>
    <w:rsid w:val="00D5346F"/>
    <w:rsid w:val="00D95E3C"/>
    <w:rsid w:val="00DA1C79"/>
    <w:rsid w:val="00DA42B5"/>
    <w:rsid w:val="00DA4A86"/>
    <w:rsid w:val="00DB6945"/>
    <w:rsid w:val="00DF6843"/>
    <w:rsid w:val="00E0627A"/>
    <w:rsid w:val="00E1127E"/>
    <w:rsid w:val="00E2161C"/>
    <w:rsid w:val="00E23847"/>
    <w:rsid w:val="00E73994"/>
    <w:rsid w:val="00E77EA3"/>
    <w:rsid w:val="00E81B9D"/>
    <w:rsid w:val="00E852E6"/>
    <w:rsid w:val="00E87825"/>
    <w:rsid w:val="00E90AC8"/>
    <w:rsid w:val="00EC51CD"/>
    <w:rsid w:val="00ED23FF"/>
    <w:rsid w:val="00EE496B"/>
    <w:rsid w:val="00EE5541"/>
    <w:rsid w:val="00F066B2"/>
    <w:rsid w:val="00F172E1"/>
    <w:rsid w:val="00F35275"/>
    <w:rsid w:val="00F361EA"/>
    <w:rsid w:val="00F45554"/>
    <w:rsid w:val="00F46019"/>
    <w:rsid w:val="00F50311"/>
    <w:rsid w:val="00F661FB"/>
    <w:rsid w:val="00F75338"/>
    <w:rsid w:val="00F871C0"/>
    <w:rsid w:val="00FA7DED"/>
    <w:rsid w:val="00FB1292"/>
    <w:rsid w:val="00FC2FD4"/>
    <w:rsid w:val="00FE1989"/>
    <w:rsid w:val="00FF1A3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E5D"/>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u w:val="single"/>
    </w:rPr>
  </w:style>
  <w:style w:type="paragraph" w:styleId="Heading4">
    <w:name w:val="heading 4"/>
    <w:basedOn w:val="Normal"/>
    <w:next w:val="Normal"/>
    <w:qFormat/>
    <w:pPr>
      <w:keepNext/>
      <w:jc w:val="center"/>
      <w:outlineLvl w:val="3"/>
    </w:pPr>
    <w:rPr>
      <w:rFonts w:ascii="Arial" w:hAnsi="Arial" w:cs="Arial"/>
      <w:sz w:val="20"/>
      <w:u w:val="single"/>
    </w:rPr>
  </w:style>
  <w:style w:type="paragraph" w:styleId="Heading5">
    <w:name w:val="heading 5"/>
    <w:basedOn w:val="Normal"/>
    <w:next w:val="Normal"/>
    <w:qFormat/>
    <w:pPr>
      <w:keepNext/>
      <w:jc w:val="center"/>
      <w:outlineLvl w:val="4"/>
    </w:pPr>
    <w:rPr>
      <w:rFonts w:ascii="Arial" w:hAnsi="Arial" w:cs="Arial"/>
      <w:b/>
      <w:bCs/>
      <w:sz w:val="20"/>
    </w:rPr>
  </w:style>
  <w:style w:type="paragraph" w:styleId="Heading6">
    <w:name w:val="heading 6"/>
    <w:basedOn w:val="Normal"/>
    <w:next w:val="Normal"/>
    <w:qFormat/>
    <w:pPr>
      <w:keepNext/>
      <w:ind w:left="360"/>
      <w:jc w:val="both"/>
      <w:outlineLvl w:val="5"/>
    </w:pPr>
    <w:rPr>
      <w:rFonts w:ascii="Arial" w:hAnsi="Arial" w:cs="Arial"/>
      <w:b/>
      <w:bCs/>
      <w:sz w:val="20"/>
    </w:rPr>
  </w:style>
  <w:style w:type="paragraph" w:styleId="Heading7">
    <w:name w:val="heading 7"/>
    <w:basedOn w:val="Normal"/>
    <w:next w:val="Normal"/>
    <w:qFormat/>
    <w:pPr>
      <w:keepNext/>
      <w:jc w:val="both"/>
      <w:outlineLvl w:val="6"/>
    </w:pPr>
    <w:rPr>
      <w:rFonts w:ascii="Arial" w:hAnsi="Arial" w:cs="Arial"/>
      <w:sz w:val="20"/>
      <w:u w:val="single"/>
    </w:rPr>
  </w:style>
  <w:style w:type="paragraph" w:styleId="Heading8">
    <w:name w:val="heading 8"/>
    <w:basedOn w:val="Normal"/>
    <w:next w:val="Normal"/>
    <w:qFormat/>
    <w:pPr>
      <w:keepNext/>
      <w:ind w:left="180" w:hanging="180"/>
      <w:jc w:val="both"/>
      <w:outlineLvl w:val="7"/>
    </w:pPr>
    <w:rPr>
      <w:rFonts w:ascii="Arial" w:hAnsi="Arial"/>
      <w:sz w:val="20"/>
      <w:u w:val="single"/>
    </w:rPr>
  </w:style>
  <w:style w:type="paragraph" w:styleId="Heading9">
    <w:name w:val="heading 9"/>
    <w:basedOn w:val="Normal"/>
    <w:next w:val="Normal"/>
    <w:qFormat/>
    <w:pPr>
      <w:keepNext/>
      <w:ind w:left="36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900"/>
      <w:jc w:val="both"/>
    </w:pPr>
    <w:rPr>
      <w:rFonts w:ascii="Arial" w:hAnsi="Arial" w:cs="Arial"/>
      <w:sz w:val="20"/>
    </w:rPr>
  </w:style>
  <w:style w:type="paragraph" w:styleId="BodyTextIndent3">
    <w:name w:val="Body Text Indent 3"/>
    <w:basedOn w:val="Normal"/>
    <w:pPr>
      <w:ind w:left="720"/>
      <w:jc w:val="both"/>
    </w:pPr>
    <w:rPr>
      <w:rFonts w:ascii="Arial" w:hAnsi="Arial" w:cs="Arial"/>
      <w:sz w:val="20"/>
    </w:rPr>
  </w:style>
  <w:style w:type="paragraph" w:styleId="BodyText">
    <w:name w:val="Body Text"/>
    <w:basedOn w:val="Normal"/>
    <w:pPr>
      <w:jc w:val="both"/>
    </w:pPr>
    <w:rPr>
      <w:rFonts w:ascii="Arial" w:hAnsi="Arial"/>
      <w:sz w:val="20"/>
    </w:rPr>
  </w:style>
  <w:style w:type="paragraph" w:styleId="BlockText">
    <w:name w:val="Block Text"/>
    <w:basedOn w:val="Normal"/>
    <w:pPr>
      <w:ind w:left="360" w:right="-720"/>
      <w:jc w:val="both"/>
    </w:pPr>
    <w:rPr>
      <w:rFonts w:ascii="Arial" w:hAnsi="Arial"/>
      <w:sz w:val="20"/>
    </w:rPr>
  </w:style>
  <w:style w:type="paragraph" w:styleId="BodyText2">
    <w:name w:val="Body Text 2"/>
    <w:basedOn w:val="Normal"/>
    <w:pPr>
      <w:jc w:val="center"/>
    </w:pPr>
    <w:rPr>
      <w:rFonts w:ascii="Arial" w:hAnsi="Arial"/>
      <w:sz w:val="20"/>
    </w:rPr>
  </w:style>
  <w:style w:type="paragraph" w:styleId="DocumentMap">
    <w:name w:val="Document Map"/>
    <w:basedOn w:val="Normal"/>
    <w:semiHidden/>
    <w:rsid w:val="00271976"/>
    <w:pPr>
      <w:shd w:val="clear" w:color="auto" w:fill="000080"/>
    </w:pPr>
    <w:rPr>
      <w:rFonts w:ascii="Tahoma" w:hAnsi="Tahoma" w:cs="Tahoma"/>
      <w:sz w:val="20"/>
      <w:szCs w:val="20"/>
    </w:rPr>
  </w:style>
  <w:style w:type="table" w:styleId="TableGrid">
    <w:name w:val="Table Grid"/>
    <w:basedOn w:val="TableNormal"/>
    <w:rsid w:val="0027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527A"/>
    <w:rPr>
      <w:rFonts w:ascii="Tahoma" w:hAnsi="Tahoma" w:cs="Tahoma"/>
      <w:sz w:val="16"/>
      <w:szCs w:val="16"/>
    </w:rPr>
  </w:style>
  <w:style w:type="paragraph" w:styleId="ListParagraph">
    <w:name w:val="List Paragraph"/>
    <w:basedOn w:val="Normal"/>
    <w:uiPriority w:val="34"/>
    <w:qFormat/>
    <w:rsid w:val="00636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E5D"/>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u w:val="single"/>
    </w:rPr>
  </w:style>
  <w:style w:type="paragraph" w:styleId="Heading4">
    <w:name w:val="heading 4"/>
    <w:basedOn w:val="Normal"/>
    <w:next w:val="Normal"/>
    <w:qFormat/>
    <w:pPr>
      <w:keepNext/>
      <w:jc w:val="center"/>
      <w:outlineLvl w:val="3"/>
    </w:pPr>
    <w:rPr>
      <w:rFonts w:ascii="Arial" w:hAnsi="Arial" w:cs="Arial"/>
      <w:sz w:val="20"/>
      <w:u w:val="single"/>
    </w:rPr>
  </w:style>
  <w:style w:type="paragraph" w:styleId="Heading5">
    <w:name w:val="heading 5"/>
    <w:basedOn w:val="Normal"/>
    <w:next w:val="Normal"/>
    <w:qFormat/>
    <w:pPr>
      <w:keepNext/>
      <w:jc w:val="center"/>
      <w:outlineLvl w:val="4"/>
    </w:pPr>
    <w:rPr>
      <w:rFonts w:ascii="Arial" w:hAnsi="Arial" w:cs="Arial"/>
      <w:b/>
      <w:bCs/>
      <w:sz w:val="20"/>
    </w:rPr>
  </w:style>
  <w:style w:type="paragraph" w:styleId="Heading6">
    <w:name w:val="heading 6"/>
    <w:basedOn w:val="Normal"/>
    <w:next w:val="Normal"/>
    <w:qFormat/>
    <w:pPr>
      <w:keepNext/>
      <w:ind w:left="360"/>
      <w:jc w:val="both"/>
      <w:outlineLvl w:val="5"/>
    </w:pPr>
    <w:rPr>
      <w:rFonts w:ascii="Arial" w:hAnsi="Arial" w:cs="Arial"/>
      <w:b/>
      <w:bCs/>
      <w:sz w:val="20"/>
    </w:rPr>
  </w:style>
  <w:style w:type="paragraph" w:styleId="Heading7">
    <w:name w:val="heading 7"/>
    <w:basedOn w:val="Normal"/>
    <w:next w:val="Normal"/>
    <w:qFormat/>
    <w:pPr>
      <w:keepNext/>
      <w:jc w:val="both"/>
      <w:outlineLvl w:val="6"/>
    </w:pPr>
    <w:rPr>
      <w:rFonts w:ascii="Arial" w:hAnsi="Arial" w:cs="Arial"/>
      <w:sz w:val="20"/>
      <w:u w:val="single"/>
    </w:rPr>
  </w:style>
  <w:style w:type="paragraph" w:styleId="Heading8">
    <w:name w:val="heading 8"/>
    <w:basedOn w:val="Normal"/>
    <w:next w:val="Normal"/>
    <w:qFormat/>
    <w:pPr>
      <w:keepNext/>
      <w:ind w:left="180" w:hanging="180"/>
      <w:jc w:val="both"/>
      <w:outlineLvl w:val="7"/>
    </w:pPr>
    <w:rPr>
      <w:rFonts w:ascii="Arial" w:hAnsi="Arial"/>
      <w:sz w:val="20"/>
      <w:u w:val="single"/>
    </w:rPr>
  </w:style>
  <w:style w:type="paragraph" w:styleId="Heading9">
    <w:name w:val="heading 9"/>
    <w:basedOn w:val="Normal"/>
    <w:next w:val="Normal"/>
    <w:qFormat/>
    <w:pPr>
      <w:keepNext/>
      <w:ind w:left="36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900"/>
      <w:jc w:val="both"/>
    </w:pPr>
    <w:rPr>
      <w:rFonts w:ascii="Arial" w:hAnsi="Arial" w:cs="Arial"/>
      <w:sz w:val="20"/>
    </w:rPr>
  </w:style>
  <w:style w:type="paragraph" w:styleId="BodyTextIndent3">
    <w:name w:val="Body Text Indent 3"/>
    <w:basedOn w:val="Normal"/>
    <w:pPr>
      <w:ind w:left="720"/>
      <w:jc w:val="both"/>
    </w:pPr>
    <w:rPr>
      <w:rFonts w:ascii="Arial" w:hAnsi="Arial" w:cs="Arial"/>
      <w:sz w:val="20"/>
    </w:rPr>
  </w:style>
  <w:style w:type="paragraph" w:styleId="BodyText">
    <w:name w:val="Body Text"/>
    <w:basedOn w:val="Normal"/>
    <w:pPr>
      <w:jc w:val="both"/>
    </w:pPr>
    <w:rPr>
      <w:rFonts w:ascii="Arial" w:hAnsi="Arial"/>
      <w:sz w:val="20"/>
    </w:rPr>
  </w:style>
  <w:style w:type="paragraph" w:styleId="BlockText">
    <w:name w:val="Block Text"/>
    <w:basedOn w:val="Normal"/>
    <w:pPr>
      <w:ind w:left="360" w:right="-720"/>
      <w:jc w:val="both"/>
    </w:pPr>
    <w:rPr>
      <w:rFonts w:ascii="Arial" w:hAnsi="Arial"/>
      <w:sz w:val="20"/>
    </w:rPr>
  </w:style>
  <w:style w:type="paragraph" w:styleId="BodyText2">
    <w:name w:val="Body Text 2"/>
    <w:basedOn w:val="Normal"/>
    <w:pPr>
      <w:jc w:val="center"/>
    </w:pPr>
    <w:rPr>
      <w:rFonts w:ascii="Arial" w:hAnsi="Arial"/>
      <w:sz w:val="20"/>
    </w:rPr>
  </w:style>
  <w:style w:type="paragraph" w:styleId="DocumentMap">
    <w:name w:val="Document Map"/>
    <w:basedOn w:val="Normal"/>
    <w:semiHidden/>
    <w:rsid w:val="00271976"/>
    <w:pPr>
      <w:shd w:val="clear" w:color="auto" w:fill="000080"/>
    </w:pPr>
    <w:rPr>
      <w:rFonts w:ascii="Tahoma" w:hAnsi="Tahoma" w:cs="Tahoma"/>
      <w:sz w:val="20"/>
      <w:szCs w:val="20"/>
    </w:rPr>
  </w:style>
  <w:style w:type="table" w:styleId="TableGrid">
    <w:name w:val="Table Grid"/>
    <w:basedOn w:val="TableNormal"/>
    <w:rsid w:val="0027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527A"/>
    <w:rPr>
      <w:rFonts w:ascii="Tahoma" w:hAnsi="Tahoma" w:cs="Tahoma"/>
      <w:sz w:val="16"/>
      <w:szCs w:val="16"/>
    </w:rPr>
  </w:style>
  <w:style w:type="paragraph" w:styleId="ListParagraph">
    <w:name w:val="List Paragraph"/>
    <w:basedOn w:val="Normal"/>
    <w:uiPriority w:val="34"/>
    <w:qFormat/>
    <w:rsid w:val="0063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KPS CONSORTIUM BERHAD (Formerly known as Hai Ming Holdings Berhad)</vt:lpstr>
    </vt:vector>
  </TitlesOfParts>
  <Company>Hai Ming Marketing Sdn. Bhd</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 CONSORTIUM BERHAD (Formerly known as Hai Ming Holdings Berhad)</dc:title>
  <dc:creator>HMM-08</dc:creator>
  <cp:lastModifiedBy>fmlau</cp:lastModifiedBy>
  <cp:revision>6</cp:revision>
  <cp:lastPrinted>2011-11-29T01:24:00Z</cp:lastPrinted>
  <dcterms:created xsi:type="dcterms:W3CDTF">2013-11-21T03:55:00Z</dcterms:created>
  <dcterms:modified xsi:type="dcterms:W3CDTF">2013-11-21T06:21:00Z</dcterms:modified>
</cp:coreProperties>
</file>